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32.png" ContentType="image/png"/>
  <Override PartName="/word/media/rId36.png" ContentType="image/png"/>
  <Override PartName="/word/media/rId25.png" ContentType="image/png"/>
  <Override PartName="/word/media/rId40.png" ContentType="image/png"/>
  <Override PartName="/word/media/rId44.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ae2c84e171165fd6ea8c45a6e227236ccd29187"/>
    <w:p>
      <w:pPr>
        <w:pStyle w:val="Heading1"/>
      </w:pPr>
      <w:r>
        <w:rPr>
          <w:rFonts w:hint="eastAsia"/>
        </w:rPr>
        <w:t xml:space="preserve">ThyGlycoPortal：基于真实文献数据的甲状腺癌糖基化交互分析平台构建与验证</w:t>
      </w:r>
    </w:p>
    <w:p>
      <w:r>
        <w:pict>
          <v:rect style="width:0;height:1.5pt" o:hralign="center" o:hrstd="t" o:hr="t"/>
        </w:pict>
      </w:r>
    </w:p>
    <w:bookmarkStart w:id="9" w:name="摘要"/>
    <w:p>
      <w:pPr>
        <w:pStyle w:val="Heading2"/>
      </w:pPr>
      <w:r>
        <w:rPr>
          <w:rFonts w:hint="eastAsia"/>
        </w:rPr>
        <w:t xml:space="preserve">摘要</w:t>
      </w:r>
    </w:p>
    <w:p>
      <w:pPr>
        <w:pStyle w:val="FirstParagraph"/>
      </w:pPr>
      <w:r>
        <w:rPr>
          <w:rFonts w:hint="eastAsia"/>
          <w:b/>
          <w:bCs/>
        </w:rPr>
        <w:t xml:space="preserve">背景</w:t>
      </w:r>
      <w:r>
        <w:rPr>
          <w:rFonts w:hint="eastAsia"/>
        </w:rPr>
        <w:t xml:space="preserve">：甲状腺癌（Thyroid</w:t>
      </w:r>
      <w:r>
        <w:t xml:space="preserve"> Cancer, </w:t>
      </w:r>
      <w:r>
        <w:rPr>
          <w:rFonts w:hint="eastAsia"/>
        </w:rPr>
        <w:t xml:space="preserve">TC）是全球增长最快的恶性肿瘤之一，其中乳头状甲状腺癌（Papillary</w:t>
      </w:r>
      <w:r>
        <w:t xml:space="preserve"> Thyroid Carcinoma, </w:t>
      </w:r>
      <w:r>
        <w:rPr>
          <w:rFonts w:hint="eastAsia"/>
        </w:rPr>
        <w:t xml:space="preserve">PTC）占绝大多数。蛋白质糖基化修饰在肿瘤发生、侵袭和转移中发挥关键作用，被认为是新一代液体活检标志物的重要来源。然而，目前尚缺乏专门整合甲状腺癌糖组学文献数据、并面向临床研究人员提供交互式分析的工具平台。此外，部分现有生物信息学平台为演示目的使用模拟数据，可能导致误导性结论和可重复性危机。</w:t>
      </w:r>
    </w:p>
    <w:p>
      <w:pPr>
        <w:pStyle w:val="BodyText"/>
      </w:pPr>
      <w:r>
        <w:rPr>
          <w:rFonts w:hint="eastAsia"/>
          <w:b/>
          <w:bCs/>
        </w:rPr>
        <w:t xml:space="preserve">方法</w:t>
      </w:r>
      <w:r>
        <w:rPr>
          <w:rFonts w:hint="eastAsia"/>
        </w:rPr>
        <w:t xml:space="preserve">：本研究系统检索了PubMed/Medline数据库中2018–2025年间发表的甲状腺癌糖基化相关文献，从5项高质量研究中提取真实的汇总统计量（均值、标准差、中位数、AUC、p值等），构建了基于SQLite的关系型数据库。在此基础上，采用R</w:t>
      </w:r>
      <w:r>
        <w:t xml:space="preserve"> </w:t>
      </w:r>
      <w:r>
        <w:rPr>
          <w:rFonts w:hint="eastAsia"/>
        </w:rPr>
        <w:t xml:space="preserve">Shiny开发了ThyGlycoPortal交互分析平台，涵盖文献浏览、糖链比较、生物标志物验证、糖基转移酶网络、TCGA基因表达及临床列线图等9大功能模块。所有展示数据均标注原始文献来源（PMID/PMCID），确保100%可溯源。</w:t>
      </w:r>
    </w:p>
    <w:p>
      <w:pPr>
        <w:pStyle w:val="BodyText"/>
      </w:pPr>
      <w:r>
        <w:rPr>
          <w:rFonts w:hint="eastAsia"/>
          <w:b/>
          <w:bCs/>
        </w:rPr>
        <w:t xml:space="preserve">结果</w:t>
      </w:r>
      <w:r>
        <w:rPr>
          <w:rFonts w:hint="eastAsia"/>
        </w:rPr>
        <w:t xml:space="preserve">：ThyGlycoPortal整合了11项研究、24种核心N-糖链结构、7个验证/候选生物标志物及8个关键糖基转移酶。平台收录了20对TCGA-THCA配对样本的糖基因真实表达数据（median</w:t>
      </w:r>
      <w:r>
        <w:t xml:space="preserve"> </w:t>
      </w:r>
      <w:r>
        <w:rPr>
          <w:rFonts w:hint="eastAsia"/>
        </w:rPr>
        <w:t xml:space="preserve">RPKM），并重现了文献报道的诊断标志物性能（AUC范围0.658–0.920）。与现有通用型糖组学数据库（GlycoPOST、UniCarbKB、GlyConnect等）相比，ThyGlycoPortal是首个专注于甲状腺癌的糖基化交互分析平台。</w:t>
      </w:r>
    </w:p>
    <w:p>
      <w:pPr>
        <w:pStyle w:val="BodyText"/>
      </w:pPr>
      <w:r>
        <w:rPr>
          <w:rFonts w:hint="eastAsia"/>
          <w:b/>
          <w:bCs/>
        </w:rPr>
        <w:t xml:space="preserve">结论</w:t>
      </w:r>
      <w:r>
        <w:rPr>
          <w:rFonts w:hint="eastAsia"/>
        </w:rPr>
        <w:t xml:space="preserve">：ThyGlycoPortal填补了甲状腺癌糖组学领域专用分析平台的空白，其”真实数据优先”的构建策略为生物信息学数据库的可信度建设提供了参考范式。平台已开源，可供临床医生和研究人员免费使用。</w:t>
      </w:r>
    </w:p>
    <w:p>
      <w:pPr>
        <w:pStyle w:val="BodyText"/>
      </w:pPr>
      <w:r>
        <w:rPr>
          <w:rFonts w:hint="eastAsia"/>
          <w:b/>
          <w:bCs/>
        </w:rPr>
        <w:t xml:space="preserve">关键词</w:t>
      </w:r>
      <w:r>
        <w:rPr>
          <w:rFonts w:hint="eastAsia"/>
        </w:rPr>
        <w:t xml:space="preserve">：甲状腺癌；糖基化；糖组学；生物标志物；交互平台；真实数据；数据库</w:t>
      </w:r>
    </w:p>
    <w:p>
      <w:r>
        <w:pict>
          <v:rect style="width:0;height:1.5pt" o:hralign="center" o:hrstd="t" o:hr="t"/>
        </w:pict>
      </w:r>
    </w:p>
    <w:bookmarkEnd w:id="9"/>
    <w:bookmarkStart w:id="14" w:name="引言"/>
    <w:p>
      <w:pPr>
        <w:pStyle w:val="Heading2"/>
      </w:pPr>
      <w:r>
        <w:t xml:space="preserve">1. </w:t>
      </w:r>
      <w:r>
        <w:rPr>
          <w:rFonts w:hint="eastAsia"/>
        </w:rPr>
        <w:t xml:space="preserve">引言</w:t>
      </w:r>
    </w:p>
    <w:bookmarkStart w:id="10" w:name="甲状腺癌诊疗现状与未满足需求"/>
    <w:p>
      <w:pPr>
        <w:pStyle w:val="Heading3"/>
      </w:pPr>
      <w:r>
        <w:t xml:space="preserve">1.1 </w:t>
      </w:r>
      <w:r>
        <w:rPr>
          <w:rFonts w:hint="eastAsia"/>
        </w:rPr>
        <w:t xml:space="preserve">甲状腺癌诊疗现状与未满足需求</w:t>
      </w:r>
    </w:p>
    <w:p>
      <w:pPr>
        <w:pStyle w:val="FirstParagraph"/>
      </w:pPr>
      <w:r>
        <w:rPr>
          <w:rFonts w:hint="eastAsia"/>
        </w:rPr>
        <w:t xml:space="preserve">甲状腺癌是内分泌系统最常见的恶性肿瘤，近二十年来其全球发病率呈持续上升趋势[1]。其中，乳头状甲状腺癌（PTC）约占全部甲状腺癌的85%以上，尽管总体预后良好，但仍有部分患者发生颈部淋巴结转移（Lymph</w:t>
      </w:r>
      <w:r>
        <w:t xml:space="preserve"> Node Metastasis, </w:t>
      </w:r>
      <w:r>
        <w:rPr>
          <w:rFonts w:hint="eastAsia"/>
        </w:rPr>
        <w:t xml:space="preserve">LNM）、局部复发或远处转移，严重影响生存质量[2]。目前，术前诊断主要依赖超声引导下细针穿刺活检（FNA），但仍存在约15–30%的”不确定”细胞学诊断结果[3]。因此，寻找客观、无创、可重复的新型辅助诊断和预后标志物具有重要的临床价值。</w:t>
      </w:r>
    </w:p>
    <w:bookmarkEnd w:id="10"/>
    <w:bookmarkStart w:id="11" w:name="糖基化连接肿瘤生物学与液体活检的桥梁"/>
    <w:p>
      <w:pPr>
        <w:pStyle w:val="Heading3"/>
      </w:pPr>
      <w:r>
        <w:t xml:space="preserve">1.2 </w:t>
      </w:r>
      <w:r>
        <w:rPr>
          <w:rFonts w:hint="eastAsia"/>
        </w:rPr>
        <w:t xml:space="preserve">糖基化：连接肿瘤生物学与液体活检的桥梁</w:t>
      </w:r>
    </w:p>
    <w:p>
      <w:pPr>
        <w:pStyle w:val="FirstParagraph"/>
      </w:pPr>
      <w:r>
        <w:rPr>
          <w:rFonts w:hint="eastAsia"/>
        </w:rPr>
        <w:t xml:space="preserve">蛋白质糖基化是最普遍的翻译后修饰之一，广泛参与细胞识别、信号转导、免疫应答和肿瘤微环境调控[4]。在癌症中，糖基化模式的系统性改变（如岩藻糖基化升高、半乳糖基化降低、唾液酸化异常、分支结构增多）已被证实是肿瘤细胞的普遍特征[5]。近年来，基于血清/血浆IgG</w:t>
      </w:r>
      <w:r>
        <w:t xml:space="preserve"> </w:t>
      </w:r>
      <w:r>
        <w:rPr>
          <w:rFonts w:hint="eastAsia"/>
        </w:rPr>
        <w:t xml:space="preserve">N-糖组学的研究发现，多种糖链结构在甲状腺癌患者中呈现显著差异，具有优异的诊断和预后价值[6–8]。例如，Zhang等报道的双分支中性N-糖链（BN）在PTC诊断中的AUC高达0.920[6]；Kudelka等发现血清G0F:G1F比值可有效预测分化型甲状腺癌的复发风险（AUC=0.82）[7]。</w:t>
      </w:r>
    </w:p>
    <w:bookmarkEnd w:id="11"/>
    <w:bookmarkStart w:id="12" w:name="现有数据库与工具的局限性"/>
    <w:p>
      <w:pPr>
        <w:pStyle w:val="Heading3"/>
      </w:pPr>
      <w:r>
        <w:t xml:space="preserve">1.3 </w:t>
      </w:r>
      <w:r>
        <w:rPr>
          <w:rFonts w:hint="eastAsia"/>
        </w:rPr>
        <w:t xml:space="preserve">现有数据库与工具的局限性</w:t>
      </w:r>
    </w:p>
    <w:p>
      <w:pPr>
        <w:pStyle w:val="FirstParagraph"/>
      </w:pPr>
      <w:r>
        <w:rPr>
          <w:rFonts w:hint="eastAsia"/>
        </w:rPr>
        <w:t xml:space="preserve">尽管糖组学数据资源日益丰富，但目前尚无专门针对甲状腺癌的糖基化交互分析平台。通用型数据库如GlycoPOST（质谱原始数据存储）、UniCarbKB（糖链结构知识库）和GlyConnect（糖蛋白组学平台）虽然提供了宝贵的糖生物学信息，但缺乏对特定癌种的深度整合和临床转化工具[9–11]。TCGA等癌症多组学数据库虽包含甲状腺癌基因组和转录组数据，但对糖基化相关基因的表达注释和可视化支持极为有限。此外，部分生物信息学演示平台为展示功能而使用随机数生成的模拟数据（如</w:t>
      </w:r>
      <w:r>
        <w:rPr>
          <w:rStyle w:val="VerbatimChar"/>
        </w:rPr>
        <w:t xml:space="preserve">set.seed()</w:t>
      </w:r>
      <w:r>
        <w:rPr>
          <w:rFonts w:hint="eastAsia"/>
        </w:rPr>
        <w:t xml:space="preserve">配合</w:t>
      </w:r>
      <w:r>
        <w:rPr>
          <w:rStyle w:val="VerbatimChar"/>
        </w:rPr>
        <w:t xml:space="preserve">rnorm()</w:t>
      </w:r>
      <w:r>
        <w:rPr>
          <w:rFonts w:hint="eastAsia"/>
        </w:rPr>
        <w:t xml:space="preserve">），若未明确标注，极易误导用户将其视为真实生物学发现[12]。</w:t>
      </w:r>
    </w:p>
    <w:bookmarkEnd w:id="12"/>
    <w:bookmarkStart w:id="13" w:name="研究目的"/>
    <w:p>
      <w:pPr>
        <w:pStyle w:val="Heading3"/>
      </w:pPr>
      <w:r>
        <w:t xml:space="preserve">1.4 </w:t>
      </w:r>
      <w:r>
        <w:rPr>
          <w:rFonts w:hint="eastAsia"/>
        </w:rPr>
        <w:t xml:space="preserve">研究目的</w:t>
      </w:r>
    </w:p>
    <w:p>
      <w:pPr>
        <w:pStyle w:val="FirstParagraph"/>
      </w:pPr>
      <w:r>
        <w:rPr>
          <w:rFonts w:hint="eastAsia"/>
        </w:rPr>
        <w:t xml:space="preserve">基于上述背景，本研究旨在构建ThyGlycoPortal——一个专注于甲状腺癌糖基化研究的交互式分析平台。平台的核心设计理念包括：（1）</w:t>
      </w:r>
      <w:r>
        <w:rPr>
          <w:rFonts w:hint="eastAsia"/>
          <w:b/>
          <w:bCs/>
        </w:rPr>
        <w:t xml:space="preserve">领域专精</w:t>
      </w:r>
      <w:r>
        <w:rPr>
          <w:rFonts w:hint="eastAsia"/>
        </w:rPr>
        <w:t xml:space="preserve">：聚焦甲状腺癌，整合诊断、预后和转移预测多维数据；（2）</w:t>
      </w:r>
      <w:r>
        <w:rPr>
          <w:rFonts w:hint="eastAsia"/>
          <w:b/>
          <w:bCs/>
        </w:rPr>
        <w:t xml:space="preserve">真实数据优先</w:t>
      </w:r>
      <w:r>
        <w:rPr>
          <w:rFonts w:hint="eastAsia"/>
        </w:rPr>
        <w:t xml:space="preserve">：所有展示数据均来源于已发表文献的真实汇总统计量或公开数据库（TCGA），彻底消除模拟数据；（3）</w:t>
      </w:r>
      <w:r>
        <w:rPr>
          <w:rFonts w:hint="eastAsia"/>
          <w:b/>
          <w:bCs/>
        </w:rPr>
        <w:t xml:space="preserve">交互透明</w:t>
      </w:r>
      <w:r>
        <w:rPr>
          <w:rFonts w:hint="eastAsia"/>
        </w:rPr>
        <w:t xml:space="preserve">：用户可实时查询、比较和导出数据，每项数据均附带完整文献溯源信息。</w:t>
      </w:r>
    </w:p>
    <w:p>
      <w:r>
        <w:pict>
          <v:rect style="width:0;height:1.5pt" o:hralign="center" o:hrstd="t" o:hr="t"/>
        </w:pict>
      </w:r>
    </w:p>
    <w:bookmarkEnd w:id="13"/>
    <w:bookmarkEnd w:id="14"/>
    <w:bookmarkStart w:id="20" w:name="材料与方法"/>
    <w:p>
      <w:pPr>
        <w:pStyle w:val="Heading2"/>
      </w:pPr>
      <w:r>
        <w:t xml:space="preserve">2. </w:t>
      </w:r>
      <w:r>
        <w:rPr>
          <w:rFonts w:hint="eastAsia"/>
        </w:rPr>
        <w:t xml:space="preserve">材料与方法</w:t>
      </w:r>
    </w:p>
    <w:bookmarkStart w:id="15" w:name="文献检索与筛选策略"/>
    <w:p>
      <w:pPr>
        <w:pStyle w:val="Heading3"/>
      </w:pPr>
      <w:r>
        <w:t xml:space="preserve">2.1 </w:t>
      </w:r>
      <w:r>
        <w:rPr>
          <w:rFonts w:hint="eastAsia"/>
        </w:rPr>
        <w:t xml:space="preserve">文献检索与筛选策略</w:t>
      </w:r>
    </w:p>
    <w:p>
      <w:pPr>
        <w:pStyle w:val="FirstParagraph"/>
      </w:pPr>
      <w:r>
        <w:rPr>
          <w:rFonts w:hint="eastAsia"/>
        </w:rPr>
        <w:t xml:space="preserve">系统检索PubMed/Medline数据库，检索式为：</w:t>
      </w:r>
      <w:r>
        <w:rPr>
          <w:rStyle w:val="VerbatimChar"/>
        </w:rPr>
        <w:t xml:space="preserve">(thyroid cancer[Title/Abstract] OR papillary thyroid carcinoma[Title/Abstract] OR thyroid nodule[Title/Abstract]) AND (glycosylation[Title/Abstract] OR glycome[Title/Abstract] OR N-glycan[Title/Abstract] OR MALDI[Title/Abstract])</w:t>
      </w:r>
      <w:r>
        <w:rPr>
          <w:rFonts w:hint="eastAsia"/>
        </w:rPr>
        <w:t xml:space="preserve">。纳入标准：（1）2018–2025年间发表的英文原创研究；（2）采用MALDI-TOF</w:t>
      </w:r>
      <w:r>
        <w:t xml:space="preserve"> </w:t>
      </w:r>
      <w:r>
        <w:rPr>
          <w:rFonts w:hint="eastAsia"/>
        </w:rPr>
        <w:t xml:space="preserve">MS或LC-MS技术对甲状腺癌患者血清/血浆/组织进行N-糖组学分析；（3）报告了糖链丰度、组间差异统计量或标志物诊断性能（AUC、敏感性、特异性）。排除标准：（1）综述、会议摘要、个案报告；（2）仅涉及合成糖链或体外酶学实验的研究；（3）原始数据无法从文献图表中提取的研究。</w:t>
      </w:r>
    </w:p>
    <w:bookmarkEnd w:id="15"/>
    <w:bookmarkStart w:id="16" w:name="真实数据提取与标准化"/>
    <w:p>
      <w:pPr>
        <w:pStyle w:val="Heading3"/>
      </w:pPr>
      <w:r>
        <w:t xml:space="preserve">2.2 </w:t>
      </w:r>
      <w:r>
        <w:rPr>
          <w:rFonts w:hint="eastAsia"/>
        </w:rPr>
        <w:t xml:space="preserve">真实数据提取与标准化</w:t>
      </w:r>
    </w:p>
    <w:p>
      <w:pPr>
        <w:pStyle w:val="FirstParagraph"/>
      </w:pPr>
      <w:r>
        <w:rPr>
          <w:rFonts w:hint="eastAsia"/>
        </w:rPr>
        <w:t xml:space="preserve">从符合纳入标准的文献中，由两名研究者独立提取以下信息并交叉核对：</w:t>
      </w:r>
    </w:p>
    <w:p>
      <w:pPr>
        <w:pStyle w:val="Compact"/>
        <w:numPr>
          <w:ilvl w:val="0"/>
          <w:numId w:val="1001"/>
        </w:numPr>
      </w:pPr>
      <w:r>
        <w:rPr>
          <w:rFonts w:hint="eastAsia"/>
          <w:b/>
          <w:bCs/>
        </w:rPr>
        <w:t xml:space="preserve">糖链丰度数据</w:t>
      </w:r>
      <w:r>
        <w:rPr>
          <w:rFonts w:hint="eastAsia"/>
        </w:rPr>
        <w:t xml:space="preserve">：各组均值（mean）、标准差（SD）或中位数（median）、四分位距（IQR）；</w:t>
      </w:r>
    </w:p>
    <w:p>
      <w:pPr>
        <w:pStyle w:val="Compact"/>
        <w:numPr>
          <w:ilvl w:val="0"/>
          <w:numId w:val="1001"/>
        </w:numPr>
      </w:pPr>
      <w:r>
        <w:rPr>
          <w:rFonts w:hint="eastAsia"/>
          <w:b/>
          <w:bCs/>
        </w:rPr>
        <w:t xml:space="preserve">差异分析结果</w:t>
      </w:r>
      <w:r>
        <w:rPr>
          <w:rFonts w:hint="eastAsia"/>
        </w:rPr>
        <w:t xml:space="preserve">：p值、变化方向（上调/下调）、效应量（fold</w:t>
      </w:r>
      <w:r>
        <w:t xml:space="preserve"> </w:t>
      </w:r>
      <w:r>
        <w:rPr>
          <w:rFonts w:hint="eastAsia"/>
        </w:rPr>
        <w:t xml:space="preserve">change）；</w:t>
      </w:r>
    </w:p>
    <w:p>
      <w:pPr>
        <w:pStyle w:val="Compact"/>
        <w:numPr>
          <w:ilvl w:val="0"/>
          <w:numId w:val="1001"/>
        </w:numPr>
      </w:pPr>
      <w:r>
        <w:rPr>
          <w:rFonts w:hint="eastAsia"/>
          <w:b/>
          <w:bCs/>
        </w:rPr>
        <w:t xml:space="preserve">生物标志物性能</w:t>
      </w:r>
      <w:r>
        <w:rPr>
          <w:rFonts w:hint="eastAsia"/>
        </w:rPr>
        <w:t xml:space="preserve">：AUC、95%置信区间、最佳截断值（cutoff）、敏感性、特异性；</w:t>
      </w:r>
    </w:p>
    <w:p>
      <w:pPr>
        <w:pStyle w:val="Compact"/>
        <w:numPr>
          <w:ilvl w:val="0"/>
          <w:numId w:val="1001"/>
        </w:numPr>
      </w:pPr>
      <w:r>
        <w:rPr>
          <w:rFonts w:hint="eastAsia"/>
          <w:b/>
          <w:bCs/>
        </w:rPr>
        <w:t xml:space="preserve">临床特征</w:t>
      </w:r>
      <w:r>
        <w:rPr>
          <w:rFonts w:hint="eastAsia"/>
        </w:rPr>
        <w:t xml:space="preserve">：样本量、样本类型（血清/血浆/组织）、癌种分型、转移状态。</w:t>
      </w:r>
    </w:p>
    <w:p>
      <w:pPr>
        <w:pStyle w:val="FirstParagraph"/>
      </w:pPr>
      <w:r>
        <w:rPr>
          <w:rFonts w:hint="eastAsia"/>
        </w:rPr>
        <w:t xml:space="preserve">对于仅提供图表而未报告精确数值的文献，采用WebPlotDigitizer工具进行数字化提取，并由第三名研究者进行复核。</w:t>
      </w:r>
    </w:p>
    <w:bookmarkEnd w:id="16"/>
    <w:bookmarkStart w:id="17" w:name="数据库架构设计"/>
    <w:p>
      <w:pPr>
        <w:pStyle w:val="Heading3"/>
      </w:pPr>
      <w:r>
        <w:t xml:space="preserve">2.3 </w:t>
      </w:r>
      <w:r>
        <w:rPr>
          <w:rFonts w:hint="eastAsia"/>
        </w:rPr>
        <w:t xml:space="preserve">数据库架构设计</w:t>
      </w:r>
    </w:p>
    <w:p>
      <w:pPr>
        <w:pStyle w:val="FirstParagraph"/>
      </w:pPr>
      <w:r>
        <w:rPr>
          <w:rFonts w:hint="eastAsia"/>
        </w:rPr>
        <w:t xml:space="preserve">采用SQLite构建轻量级关系型数据库，核心表结构包括：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表名</w:t>
            </w:r>
          </w:p>
        </w:tc>
        <w:tc>
          <w:tcPr/>
          <w:p>
            <w:pPr>
              <w:pStyle w:val="Compact"/>
            </w:pPr>
            <w:r>
              <w:rPr>
                <w:rFonts w:hint="eastAsia"/>
              </w:rPr>
              <w:t xml:space="preserve">核心字段</w:t>
            </w:r>
          </w:p>
        </w:tc>
        <w:tc>
          <w:tcPr/>
          <w:p>
            <w:pPr>
              <w:pStyle w:val="Compact"/>
            </w:pPr>
            <w:r>
              <w:rPr>
                <w:rFonts w:hint="eastAsia"/>
              </w:rPr>
              <w:t xml:space="preserve">说明</w:t>
            </w:r>
          </w:p>
        </w:tc>
      </w:tr>
      <w:tr>
        <w:tc>
          <w:tcPr/>
          <w:p>
            <w:pPr>
              <w:pStyle w:val="Compact"/>
            </w:pPr>
            <w:r>
              <w:rPr>
                <w:rStyle w:val="VerbatimChar"/>
              </w:rPr>
              <w:t xml:space="preserve">studies</w:t>
            </w:r>
          </w:p>
        </w:tc>
        <w:tc>
          <w:tcPr/>
          <w:p>
            <w:pPr>
              <w:pStyle w:val="Compact"/>
            </w:pPr>
            <w:r>
              <w:t xml:space="preserve">study_id, title, year, pmid, method</w:t>
            </w:r>
          </w:p>
        </w:tc>
        <w:tc>
          <w:tcPr/>
          <w:p>
            <w:pPr>
              <w:pStyle w:val="Compact"/>
            </w:pPr>
            <w:r>
              <w:rPr>
                <w:rFonts w:hint="eastAsia"/>
              </w:rPr>
              <w:t xml:space="preserve">文献元数据</w:t>
            </w:r>
          </w:p>
        </w:tc>
      </w:tr>
      <w:tr>
        <w:tc>
          <w:tcPr/>
          <w:p>
            <w:pPr>
              <w:pStyle w:val="Compact"/>
            </w:pPr>
            <w:r>
              <w:rPr>
                <w:rStyle w:val="VerbatimChar"/>
              </w:rPr>
              <w:t xml:space="preserve">glycan_structures</w:t>
            </w:r>
          </w:p>
        </w:tc>
        <w:tc>
          <w:tcPr/>
          <w:p>
            <w:pPr>
              <w:pStyle w:val="Compact"/>
            </w:pPr>
            <w:r>
              <w:t xml:space="preserve">glycan_id, composition, snfg, mass</w:t>
            </w:r>
          </w:p>
        </w:tc>
        <w:tc>
          <w:tcPr/>
          <w:p>
            <w:pPr>
              <w:pStyle w:val="Compact"/>
            </w:pPr>
            <w:r>
              <w:rPr>
                <w:rFonts w:hint="eastAsia"/>
              </w:rPr>
              <w:t xml:space="preserve">糖链结构信息</w:t>
            </w:r>
          </w:p>
        </w:tc>
      </w:tr>
      <w:tr>
        <w:tc>
          <w:tcPr/>
          <w:p>
            <w:pPr>
              <w:pStyle w:val="Compact"/>
            </w:pPr>
            <w:r>
              <w:rPr>
                <w:rStyle w:val="VerbatimChar"/>
              </w:rPr>
              <w:t xml:space="preserve">clinical_groups</w:t>
            </w:r>
          </w:p>
        </w:tc>
        <w:tc>
          <w:tcPr/>
          <w:p>
            <w:pPr>
              <w:pStyle w:val="Compact"/>
            </w:pPr>
            <w:r>
              <w:t xml:space="preserve">group_id, group_name, definition</w:t>
            </w:r>
          </w:p>
        </w:tc>
        <w:tc>
          <w:tcPr/>
          <w:p>
            <w:pPr>
              <w:pStyle w:val="Compact"/>
            </w:pPr>
            <w:r>
              <w:rPr>
                <w:rFonts w:hint="eastAsia"/>
              </w:rPr>
              <w:t xml:space="preserve">临床分组（HC/BTN/TC/LNM等）</w:t>
            </w:r>
          </w:p>
        </w:tc>
      </w:tr>
      <w:tr>
        <w:tc>
          <w:tcPr/>
          <w:p>
            <w:pPr>
              <w:pStyle w:val="Compact"/>
            </w:pPr>
            <w:r>
              <w:rPr>
                <w:rStyle w:val="VerbatimChar"/>
              </w:rPr>
              <w:t xml:space="preserve">samples</w:t>
            </w:r>
          </w:p>
        </w:tc>
        <w:tc>
          <w:tcPr/>
          <w:p>
            <w:pPr>
              <w:pStyle w:val="Compact"/>
            </w:pPr>
            <w:r>
              <w:t xml:space="preserve">sample_id, study_id, group_id, n</w:t>
            </w:r>
          </w:p>
        </w:tc>
        <w:tc>
          <w:tcPr/>
          <w:p>
            <w:pPr>
              <w:pStyle w:val="Compact"/>
            </w:pPr>
            <w:r>
              <w:rPr>
                <w:rFonts w:hint="eastAsia"/>
              </w:rPr>
              <w:t xml:space="preserve">样本信息</w:t>
            </w:r>
          </w:p>
        </w:tc>
      </w:tr>
      <w:tr>
        <w:tc>
          <w:tcPr/>
          <w:p>
            <w:pPr>
              <w:pStyle w:val="Compact"/>
            </w:pPr>
            <w:r>
              <w:rPr>
                <w:rStyle w:val="VerbatimChar"/>
              </w:rPr>
              <w:t xml:space="preserve">glycan_abundance</w:t>
            </w:r>
          </w:p>
        </w:tc>
        <w:tc>
          <w:tcPr/>
          <w:p>
            <w:pPr>
              <w:pStyle w:val="Compact"/>
            </w:pPr>
            <w:r>
              <w:t xml:space="preserve">abundance_id, sample_id, glycan_id, direction, p_value</w:t>
            </w:r>
          </w:p>
        </w:tc>
        <w:tc>
          <w:tcPr/>
          <w:p>
            <w:pPr>
              <w:pStyle w:val="Compact"/>
            </w:pPr>
            <w:r>
              <w:rPr>
                <w:rFonts w:hint="eastAsia"/>
              </w:rPr>
              <w:t xml:space="preserve">糖链丰度趋势</w:t>
            </w:r>
          </w:p>
        </w:tc>
      </w:tr>
      <w:tr>
        <w:tc>
          <w:tcPr/>
          <w:p>
            <w:pPr>
              <w:pStyle w:val="Compact"/>
            </w:pPr>
            <w:r>
              <w:rPr>
                <w:rStyle w:val="VerbatimChar"/>
              </w:rPr>
              <w:t xml:space="preserve">biomarkers</w:t>
            </w:r>
          </w:p>
        </w:tc>
        <w:tc>
          <w:tcPr/>
          <w:p>
            <w:pPr>
              <w:pStyle w:val="Compact"/>
            </w:pPr>
            <w:r>
              <w:t xml:space="preserve">biomarker_id, name, sample_type, auc, sens, spec, citation</w:t>
            </w:r>
          </w:p>
        </w:tc>
        <w:tc>
          <w:tcPr/>
          <w:p>
            <w:pPr>
              <w:pStyle w:val="Compact"/>
            </w:pPr>
            <w:r>
              <w:rPr>
                <w:rFonts w:hint="eastAsia"/>
              </w:rPr>
              <w:t xml:space="preserve">标志物性能</w:t>
            </w:r>
          </w:p>
        </w:tc>
      </w:tr>
      <w:tr>
        <w:tc>
          <w:tcPr/>
          <w:p>
            <w:pPr>
              <w:pStyle w:val="Compact"/>
            </w:pPr>
            <w:r>
              <w:rPr>
                <w:rStyle w:val="VerbatimChar"/>
              </w:rPr>
              <w:t xml:space="preserve">glycosyltransferases</w:t>
            </w:r>
          </w:p>
        </w:tc>
        <w:tc>
          <w:tcPr/>
          <w:p>
            <w:pPr>
              <w:pStyle w:val="Compact"/>
            </w:pPr>
            <w:r>
              <w:t xml:space="preserve">gene_id, symbol, family, pathway</w:t>
            </w:r>
          </w:p>
        </w:tc>
        <w:tc>
          <w:tcPr/>
          <w:p>
            <w:pPr>
              <w:pStyle w:val="Compact"/>
            </w:pPr>
            <w:r>
              <w:rPr>
                <w:rFonts w:hint="eastAsia"/>
              </w:rPr>
              <w:t xml:space="preserve">糖基转移酶</w:t>
            </w:r>
          </w:p>
        </w:tc>
      </w:tr>
      <w:tr>
        <w:tc>
          <w:tcPr/>
          <w:p>
            <w:pPr>
              <w:pStyle w:val="Compact"/>
            </w:pPr>
            <w:r>
              <w:rPr>
                <w:rStyle w:val="VerbatimChar"/>
              </w:rPr>
              <w:t xml:space="preserve">enzyme_glycan_links</w:t>
            </w:r>
          </w:p>
        </w:tc>
        <w:tc>
          <w:tcPr/>
          <w:p>
            <w:pPr>
              <w:pStyle w:val="Compact"/>
            </w:pPr>
            <w:r>
              <w:t xml:space="preserve">link_id, gene_id, glycan_id, regulation</w:t>
            </w:r>
          </w:p>
        </w:tc>
        <w:tc>
          <w:tcPr/>
          <w:p>
            <w:pPr>
              <w:pStyle w:val="Compact"/>
            </w:pPr>
            <w:r>
              <w:rPr>
                <w:rFonts w:hint="eastAsia"/>
              </w:rPr>
              <w:t xml:space="preserve">酶-糖链调控网络</w:t>
            </w:r>
          </w:p>
        </w:tc>
      </w:tr>
      <w:tr>
        <w:tc>
          <w:tcPr/>
          <w:p>
            <w:pPr>
              <w:pStyle w:val="Compact"/>
            </w:pPr>
            <w:r>
              <w:rPr>
                <w:rStyle w:val="VerbatimChar"/>
              </w:rPr>
              <w:t xml:space="preserve">literature_stats</w:t>
            </w:r>
          </w:p>
        </w:tc>
        <w:tc>
          <w:tcPr/>
          <w:p>
            <w:pPr>
              <w:pStyle w:val="Compact"/>
            </w:pPr>
            <w:r>
              <w:t xml:space="preserve">stat_id, study, variable, mean, sd, median, p_value, auc</w:t>
            </w:r>
          </w:p>
        </w:tc>
        <w:tc>
          <w:tcPr/>
          <w:p>
            <w:pPr>
              <w:pStyle w:val="Compact"/>
            </w:pPr>
            <w:r>
              <w:rPr>
                <w:rFonts w:hint="eastAsia"/>
              </w:rPr>
              <w:t xml:space="preserve">文献提取的真实统计量</w:t>
            </w:r>
          </w:p>
        </w:tc>
      </w:tr>
      <w:tr>
        <w:tc>
          <w:tcPr/>
          <w:p>
            <w:pPr>
              <w:pStyle w:val="Compact"/>
            </w:pPr>
            <w:r>
              <w:rPr>
                <w:rStyle w:val="VerbatimChar"/>
              </w:rPr>
              <w:t xml:space="preserve">tcga_glycogene_expression</w:t>
            </w:r>
          </w:p>
        </w:tc>
        <w:tc>
          <w:tcPr/>
          <w:p>
            <w:pPr>
              <w:pStyle w:val="Compact"/>
            </w:pPr>
            <w:r>
              <w:t xml:space="preserve">gene_symbol, normal_rpkm, ptc_rpkm, fold_change, p_value</w:t>
            </w:r>
          </w:p>
        </w:tc>
        <w:tc>
          <w:tcPr/>
          <w:p>
            <w:pPr>
              <w:pStyle w:val="Compact"/>
            </w:pPr>
            <w:r>
              <w:rPr>
                <w:rFonts w:hint="eastAsia"/>
              </w:rPr>
              <w:t xml:space="preserve">TCGA真实表达数据</w:t>
            </w:r>
          </w:p>
        </w:tc>
      </w:tr>
    </w:tbl>
    <w:bookmarkEnd w:id="17"/>
    <w:bookmarkStart w:id="18" w:name="平台开发"/>
    <w:p>
      <w:pPr>
        <w:pStyle w:val="Heading3"/>
      </w:pPr>
      <w:r>
        <w:t xml:space="preserve">2.4 </w:t>
      </w:r>
      <w:r>
        <w:rPr>
          <w:rFonts w:hint="eastAsia"/>
        </w:rPr>
        <w:t xml:space="preserve">平台开发</w:t>
      </w:r>
    </w:p>
    <w:p>
      <w:pPr>
        <w:pStyle w:val="FirstParagraph"/>
      </w:pPr>
      <w:r>
        <w:rPr>
          <w:rFonts w:hint="eastAsia"/>
        </w:rPr>
        <w:t xml:space="preserve">前端交互界面基于R</w:t>
      </w:r>
      <w:r>
        <w:t xml:space="preserve"> </w:t>
      </w:r>
      <w:r>
        <w:rPr>
          <w:rFonts w:hint="eastAsia"/>
        </w:rPr>
        <w:t xml:space="preserve">Shiny（v1.8）和shinydashboard构建，数据可视化采用ggplot2、plotly和DT包实现。统计分析模块调用dplyr、pROC等R包。平台设计为模块化架构，包含以下功能：</w:t>
      </w:r>
    </w:p>
    <w:p>
      <w:pPr>
        <w:pStyle w:val="Compact"/>
        <w:numPr>
          <w:ilvl w:val="0"/>
          <w:numId w:val="1002"/>
        </w:numPr>
      </w:pPr>
      <w:r>
        <w:rPr>
          <w:b/>
          <w:bCs/>
        </w:rPr>
        <w:t xml:space="preserve">Overview</w:t>
      </w:r>
      <w:r>
        <w:rPr>
          <w:rFonts w:hint="eastAsia"/>
        </w:rPr>
        <w:t xml:space="preserve">：数据库统计仪表盘，展示研究分布、方法学和标志物概览；</w:t>
      </w:r>
    </w:p>
    <w:p>
      <w:pPr>
        <w:pStyle w:val="Compact"/>
        <w:numPr>
          <w:ilvl w:val="0"/>
          <w:numId w:val="1002"/>
        </w:numPr>
      </w:pPr>
      <w:r>
        <w:rPr>
          <w:b/>
          <w:bCs/>
        </w:rPr>
        <w:t xml:space="preserve">Literature</w:t>
      </w:r>
      <w:r>
        <w:rPr>
          <w:rFonts w:hint="eastAsia"/>
        </w:rPr>
        <w:t xml:space="preserve">：交互式文献表格，支持多维筛选和检索；</w:t>
      </w:r>
    </w:p>
    <w:p>
      <w:pPr>
        <w:pStyle w:val="Compact"/>
        <w:numPr>
          <w:ilvl w:val="0"/>
          <w:numId w:val="1002"/>
        </w:numPr>
      </w:pPr>
      <w:r>
        <w:rPr>
          <w:b/>
          <w:bCs/>
        </w:rPr>
        <w:t xml:space="preserve">Biomarkers</w:t>
      </w:r>
      <w:r>
        <w:rPr>
          <w:rFonts w:hint="eastAsia"/>
        </w:rPr>
        <w:t xml:space="preserve">：标志物性能对比（AUC、敏感性、特异性）；</w:t>
      </w:r>
    </w:p>
    <w:p>
      <w:pPr>
        <w:pStyle w:val="Compact"/>
        <w:numPr>
          <w:ilvl w:val="0"/>
          <w:numId w:val="1002"/>
        </w:numPr>
      </w:pPr>
      <w:r>
        <w:rPr>
          <w:b/>
          <w:bCs/>
        </w:rPr>
        <w:t xml:space="preserve">Glycan Browser</w:t>
      </w:r>
      <w:r>
        <w:rPr>
          <w:rFonts w:hint="eastAsia"/>
        </w:rPr>
        <w:t xml:space="preserve">：24种核心N-糖链结构浏览与跨研究比较；</w:t>
      </w:r>
    </w:p>
    <w:p>
      <w:pPr>
        <w:pStyle w:val="Compact"/>
        <w:numPr>
          <w:ilvl w:val="0"/>
          <w:numId w:val="1002"/>
        </w:numPr>
      </w:pPr>
      <w:r>
        <w:rPr>
          <w:b/>
          <w:bCs/>
        </w:rPr>
        <w:t xml:space="preserve">Enzyme Network</w:t>
      </w:r>
      <w:r>
        <w:rPr>
          <w:rFonts w:hint="eastAsia"/>
        </w:rPr>
        <w:t xml:space="preserve">：8种关键糖基转移酶及其调控糖链的关联网络；</w:t>
      </w:r>
    </w:p>
    <w:p>
      <w:pPr>
        <w:pStyle w:val="Compact"/>
        <w:numPr>
          <w:ilvl w:val="0"/>
          <w:numId w:val="1002"/>
        </w:numPr>
      </w:pPr>
      <w:r>
        <w:rPr>
          <w:b/>
          <w:bCs/>
        </w:rPr>
        <w:t xml:space="preserve">TCGA Glycogene Expression</w:t>
      </w:r>
      <w:r>
        <w:rPr>
          <w:rFonts w:hint="eastAsia"/>
        </w:rPr>
        <w:t xml:space="preserve">：基于Bones等2018年报道的20对TCGA-THCA配对样本真实median</w:t>
      </w:r>
      <w:r>
        <w:t xml:space="preserve"> </w:t>
      </w:r>
      <w:r>
        <w:rPr>
          <w:rFonts w:hint="eastAsia"/>
        </w:rPr>
        <w:t xml:space="preserve">RPKM数据；</w:t>
      </w:r>
    </w:p>
    <w:p>
      <w:pPr>
        <w:pStyle w:val="Compact"/>
        <w:numPr>
          <w:ilvl w:val="0"/>
          <w:numId w:val="1002"/>
        </w:numPr>
      </w:pPr>
      <w:r>
        <w:rPr>
          <w:b/>
          <w:bCs/>
        </w:rPr>
        <w:t xml:space="preserve">Diagnostic Tool</w:t>
      </w:r>
      <w:r>
        <w:rPr>
          <w:rFonts w:hint="eastAsia"/>
        </w:rPr>
        <w:t xml:space="preserve">：IgG</w:t>
      </w:r>
      <w:r>
        <w:t xml:space="preserve"> </w:t>
      </w:r>
      <w:r>
        <w:rPr>
          <w:rFonts w:hint="eastAsia"/>
        </w:rPr>
        <w:t xml:space="preserve">BN诊断评分和血清G0F:G1F复发风险预测计算器；</w:t>
      </w:r>
    </w:p>
    <w:p>
      <w:pPr>
        <w:pStyle w:val="Compact"/>
        <w:numPr>
          <w:ilvl w:val="0"/>
          <w:numId w:val="1002"/>
        </w:numPr>
      </w:pPr>
      <w:r>
        <w:rPr>
          <w:b/>
          <w:bCs/>
        </w:rPr>
        <w:t xml:space="preserve">Nomogram</w:t>
      </w:r>
      <w:r>
        <w:rPr>
          <w:rFonts w:hint="eastAsia"/>
        </w:rPr>
        <w:t xml:space="preserve">：PTMC淋巴结转移风险概率动态计算；</w:t>
      </w:r>
    </w:p>
    <w:p>
      <w:pPr>
        <w:pStyle w:val="Compact"/>
        <w:numPr>
          <w:ilvl w:val="0"/>
          <w:numId w:val="1002"/>
        </w:numPr>
      </w:pPr>
      <w:r>
        <w:rPr>
          <w:b/>
          <w:bCs/>
        </w:rPr>
        <w:t xml:space="preserve">Data Upload</w:t>
      </w:r>
      <w:r>
        <w:rPr>
          <w:rFonts w:hint="eastAsia"/>
        </w:rPr>
        <w:t xml:space="preserve">：支持用户上传自有MALDI-TOF糖组学CSV数据进行可视化。</w:t>
      </w:r>
    </w:p>
    <w:bookmarkEnd w:id="18"/>
    <w:bookmarkStart w:id="19" w:name="去模拟化数据治理策略"/>
    <w:p>
      <w:pPr>
        <w:pStyle w:val="Heading3"/>
      </w:pPr>
      <w:r>
        <w:t xml:space="preserve">2.5</w:t>
      </w:r>
      <w:r>
        <w:t xml:space="preserve"> </w:t>
      </w:r>
      <w:r>
        <w:rPr>
          <w:rFonts w:hint="eastAsia"/>
        </w:rPr>
        <w:t xml:space="preserve">“去模拟化”</w:t>
      </w:r>
      <w:r>
        <w:rPr>
          <w:rFonts w:hint="eastAsia"/>
        </w:rPr>
        <w:t xml:space="preserve">数据治理策略</w:t>
      </w:r>
    </w:p>
    <w:p>
      <w:pPr>
        <w:pStyle w:val="FirstParagraph"/>
      </w:pPr>
      <w:r>
        <w:rPr>
          <w:rFonts w:hint="eastAsia"/>
        </w:rPr>
        <w:t xml:space="preserve">为确保平台数据的绝对真实性，本研究实施了以下质控流程：</w:t>
      </w:r>
    </w:p>
    <w:p>
      <w:pPr>
        <w:pStyle w:val="Compact"/>
        <w:numPr>
          <w:ilvl w:val="0"/>
          <w:numId w:val="1003"/>
        </w:numPr>
      </w:pPr>
      <w:r>
        <w:rPr>
          <w:rFonts w:hint="eastAsia"/>
          <w:b/>
          <w:bCs/>
        </w:rPr>
        <w:t xml:space="preserve">代码审计</w:t>
      </w:r>
      <w:r>
        <w:rPr>
          <w:rFonts w:hint="eastAsia"/>
        </w:rPr>
        <w:t xml:space="preserve">：全面审查所有R和Python脚本，移除任何</w:t>
      </w:r>
      <w:r>
        <w:rPr>
          <w:rStyle w:val="VerbatimChar"/>
        </w:rPr>
        <w:t xml:space="preserve">rnorm()</w:t>
      </w:r>
      <w:r>
        <w:t xml:space="preserve">、</w:t>
      </w:r>
      <w:r>
        <w:rPr>
          <w:rStyle w:val="VerbatimChar"/>
        </w:rPr>
        <w:t xml:space="preserve">runif()</w:t>
      </w:r>
      <w:r>
        <w:t xml:space="preserve">、</w:t>
      </w:r>
      <w:r>
        <w:rPr>
          <w:rStyle w:val="VerbatimChar"/>
        </w:rPr>
        <w:t xml:space="preserve">set.seed()</w:t>
      </w:r>
      <w:r>
        <w:rPr>
          <w:rFonts w:hint="eastAsia"/>
        </w:rPr>
        <w:t xml:space="preserve">等随机数生成函数；</w:t>
      </w:r>
    </w:p>
    <w:p>
      <w:pPr>
        <w:pStyle w:val="Compact"/>
        <w:numPr>
          <w:ilvl w:val="0"/>
          <w:numId w:val="1003"/>
        </w:numPr>
      </w:pPr>
      <w:r>
        <w:rPr>
          <w:rFonts w:hint="eastAsia"/>
          <w:b/>
          <w:bCs/>
        </w:rPr>
        <w:t xml:space="preserve">数据源声明</w:t>
      </w:r>
      <w:r>
        <w:rPr>
          <w:rFonts w:hint="eastAsia"/>
        </w:rPr>
        <w:t xml:space="preserve">：每个数据可视化模块均强制标注原始文献引用（PMID/PMCID），并在图表标题中标注”REAL</w:t>
      </w:r>
      <w:r>
        <w:t xml:space="preserve"> </w:t>
      </w:r>
      <w:r>
        <w:rPr>
          <w:rFonts w:hint="eastAsia"/>
        </w:rPr>
        <w:t xml:space="preserve">DATA”；</w:t>
      </w:r>
    </w:p>
    <w:p>
      <w:pPr>
        <w:pStyle w:val="Compact"/>
        <w:numPr>
          <w:ilvl w:val="0"/>
          <w:numId w:val="1003"/>
        </w:numPr>
      </w:pPr>
      <w:r>
        <w:rPr>
          <w:rFonts w:hint="eastAsia"/>
          <w:b/>
          <w:bCs/>
        </w:rPr>
        <w:t xml:space="preserve">数据库验证</w:t>
      </w:r>
      <w:r>
        <w:rPr>
          <w:rFonts w:hint="eastAsia"/>
        </w:rPr>
        <w:t xml:space="preserve">：通过自动化脚本验证</w:t>
      </w:r>
      <w:r>
        <w:rPr>
          <w:rStyle w:val="VerbatimChar"/>
        </w:rPr>
        <w:t xml:space="preserve">literature_stats</w:t>
      </w:r>
      <w:r>
        <w:rPr>
          <w:rFonts w:hint="eastAsia"/>
        </w:rPr>
        <w:t xml:space="preserve">和</w:t>
      </w:r>
      <w:r>
        <w:rPr>
          <w:rStyle w:val="VerbatimChar"/>
        </w:rPr>
        <w:t xml:space="preserve">tcga_glycogene_expression</w:t>
      </w:r>
      <w:r>
        <w:rPr>
          <w:rFonts w:hint="eastAsia"/>
        </w:rPr>
        <w:t xml:space="preserve">表的记录完整性，确保无模拟数据残留；</w:t>
      </w:r>
    </w:p>
    <w:p>
      <w:pPr>
        <w:pStyle w:val="Compact"/>
        <w:numPr>
          <w:ilvl w:val="0"/>
          <w:numId w:val="1003"/>
        </w:numPr>
      </w:pPr>
      <w:r>
        <w:rPr>
          <w:rFonts w:hint="eastAsia"/>
          <w:b/>
          <w:bCs/>
        </w:rPr>
        <w:t xml:space="preserve">结构化导出</w:t>
      </w:r>
      <w:r>
        <w:rPr>
          <w:rFonts w:hint="eastAsia"/>
        </w:rPr>
        <w:t xml:space="preserve">：提取的真实数据以JSON和CSV格式存档，支持第三方独立验证。</w:t>
      </w:r>
    </w:p>
    <w:p>
      <w:r>
        <w:pict>
          <v:rect style="width:0;height:1.5pt" o:hralign="center" o:hrstd="t" o:hr="t"/>
        </w:pict>
      </w:r>
    </w:p>
    <w:bookmarkEnd w:id="19"/>
    <w:bookmarkEnd w:id="20"/>
    <w:bookmarkStart w:id="48" w:name="结果"/>
    <w:p>
      <w:pPr>
        <w:pStyle w:val="Heading2"/>
      </w:pPr>
      <w:r>
        <w:t xml:space="preserve">3. </w:t>
      </w:r>
      <w:r>
        <w:rPr>
          <w:rFonts w:hint="eastAsia"/>
        </w:rPr>
        <w:t xml:space="preserve">结果</w:t>
      </w:r>
    </w:p>
    <w:bookmarkStart w:id="24" w:name="文献整合概况"/>
    <w:p>
      <w:pPr>
        <w:pStyle w:val="Heading3"/>
      </w:pPr>
      <w:r>
        <w:t xml:space="preserve">3.1 </w:t>
      </w:r>
      <w:r>
        <w:rPr>
          <w:rFonts w:hint="eastAsia"/>
        </w:rPr>
        <w:t xml:space="preserve">文献整合概况</w:t>
      </w:r>
    </w:p>
    <w:p>
      <w:pPr>
        <w:pStyle w:val="FirstParagraph"/>
      </w:pPr>
      <w:r>
        <w:rPr>
          <w:rFonts w:hint="eastAsia"/>
        </w:rPr>
        <w:t xml:space="preserve">经过系统检索和筛选，最终纳入11项研究（2018–2025年），覆盖血浆、血清和组织三种样本类型，涉及健康对照（HC）、良性甲状腺结节（BTN）、乳头状甲状腺癌（PTC）、复发/转移性DTC及淋巴结转移（LNM）等7个主要临床分组。文献年份分布显示该领域研究呈稳步增长趋势（图1）。</w:t>
      </w:r>
    </w:p>
    <w:p>
      <w:pPr>
        <w:pStyle w:val="BodyText"/>
      </w:pPr>
      <w:r>
        <w:drawing>
          <wp:inline>
            <wp:extent cx="5334000" cy="3298776"/>
            <wp:effectExtent b="0" l="0" r="0" t="0"/>
            <wp:docPr descr="Figure 1" title="" id="22" name="Picture"/>
            <a:graphic>
              <a:graphicData uri="http://schemas.openxmlformats.org/drawingml/2006/picture">
                <pic:pic>
                  <pic:nvPicPr>
                    <pic:cNvPr descr="figures/fig1_literature_trend_en.png" id="23" name="Picture"/>
                    <pic:cNvPicPr>
                      <a:picLocks noChangeArrowheads="1" noChangeAspect="1"/>
                    </pic:cNvPicPr>
                  </pic:nvPicPr>
                  <pic:blipFill>
                    <a:blip r:embed="rId21"/>
                    <a:stretch>
                      <a:fillRect/>
                    </a:stretch>
                  </pic:blipFill>
                  <pic:spPr bwMode="auto">
                    <a:xfrm>
                      <a:off x="0" y="0"/>
                      <a:ext cx="5334000" cy="3298776"/>
                    </a:xfrm>
                    <a:prstGeom prst="rect">
                      <a:avLst/>
                    </a:prstGeom>
                    <a:noFill/>
                    <a:ln w="9525">
                      <a:noFill/>
                      <a:headEnd/>
                      <a:tailEnd/>
                    </a:ln>
                  </pic:spPr>
                </pic:pic>
              </a:graphicData>
            </a:graphic>
          </wp:inline>
        </w:drawing>
      </w:r>
      <w:r>
        <w:t xml:space="preserve"> </w:t>
      </w:r>
      <w:r>
        <w:rPr>
          <w:rFonts w:hint="eastAsia"/>
          <w:b/>
          <w:bCs/>
        </w:rPr>
        <w:t xml:space="preserve">图1</w:t>
      </w:r>
      <w:r>
        <w:t xml:space="preserve"> </w:t>
      </w:r>
      <w:r>
        <w:rPr>
          <w:rFonts w:hint="eastAsia"/>
        </w:rPr>
        <w:t xml:space="preserve">甲状腺癌糖基化相关研究文献年份分布</w:t>
      </w:r>
    </w:p>
    <w:bookmarkEnd w:id="24"/>
    <w:bookmarkStart w:id="28" w:name="平台架构与功能模块"/>
    <w:p>
      <w:pPr>
        <w:pStyle w:val="Heading3"/>
      </w:pPr>
      <w:r>
        <w:t xml:space="preserve">3.2 </w:t>
      </w:r>
      <w:r>
        <w:rPr>
          <w:rFonts w:hint="eastAsia"/>
        </w:rPr>
        <w:t xml:space="preserve">平台架构与功能模块</w:t>
      </w:r>
    </w:p>
    <w:p>
      <w:pPr>
        <w:pStyle w:val="FirstParagraph"/>
      </w:pPr>
      <w:r>
        <w:rPr>
          <w:rFonts w:hint="eastAsia"/>
        </w:rPr>
        <w:t xml:space="preserve">ThyGlycoPortal采用四层架构设计（图2）：数据资源层整合文献数据库、糖链结构库、TCGA表达数据和用户上传数据；核心分析层提供糖谱浏览、标志物筛选、酶-糖网络和多组学整合工具；临床决策层包含列线图生成器和决策支持面板；终端用户通过R</w:t>
      </w:r>
      <w:r>
        <w:t xml:space="preserve"> </w:t>
      </w:r>
      <w:r>
        <w:rPr>
          <w:rFonts w:hint="eastAsia"/>
        </w:rPr>
        <w:t xml:space="preserve">Shiny界面实现交互式访问。</w:t>
      </w:r>
    </w:p>
    <w:p>
      <w:pPr>
        <w:pStyle w:val="BodyText"/>
      </w:pPr>
      <w:r>
        <w:drawing>
          <wp:inline>
            <wp:extent cx="5334000" cy="3541058"/>
            <wp:effectExtent b="0" l="0" r="0" t="0"/>
            <wp:docPr descr="Figure 4" title="" id="26" name="Picture"/>
            <a:graphic>
              <a:graphicData uri="http://schemas.openxmlformats.org/drawingml/2006/picture">
                <pic:pic>
                  <pic:nvPicPr>
                    <pic:cNvPr descr="figures/fig4_platform_architecture_en.png" id="27" name="Picture"/>
                    <pic:cNvPicPr>
                      <a:picLocks noChangeArrowheads="1" noChangeAspect="1"/>
                    </pic:cNvPicPr>
                  </pic:nvPicPr>
                  <pic:blipFill>
                    <a:blip r:embed="rId25"/>
                    <a:stretch>
                      <a:fillRect/>
                    </a:stretch>
                  </pic:blipFill>
                  <pic:spPr bwMode="auto">
                    <a:xfrm>
                      <a:off x="0" y="0"/>
                      <a:ext cx="5334000" cy="3541058"/>
                    </a:xfrm>
                    <a:prstGeom prst="rect">
                      <a:avLst/>
                    </a:prstGeom>
                    <a:noFill/>
                    <a:ln w="9525">
                      <a:noFill/>
                      <a:headEnd/>
                      <a:tailEnd/>
                    </a:ln>
                  </pic:spPr>
                </pic:pic>
              </a:graphicData>
            </a:graphic>
          </wp:inline>
        </w:drawing>
      </w:r>
      <w:r>
        <w:t xml:space="preserve"> </w:t>
      </w:r>
      <w:r>
        <w:rPr>
          <w:rFonts w:hint="eastAsia"/>
          <w:b/>
          <w:bCs/>
        </w:rPr>
        <w:t xml:space="preserve">图2</w:t>
      </w:r>
      <w:r>
        <w:t xml:space="preserve"> </w:t>
      </w:r>
      <w:r>
        <w:rPr>
          <w:rFonts w:hint="eastAsia"/>
        </w:rPr>
        <w:t xml:space="preserve">ThyGlycoPortal平台四层架构设计</w:t>
      </w:r>
    </w:p>
    <w:bookmarkEnd w:id="28"/>
    <w:bookmarkStart w:id="35" w:name="生物标志物整合"/>
    <w:p>
      <w:pPr>
        <w:pStyle w:val="Heading3"/>
      </w:pPr>
      <w:r>
        <w:t xml:space="preserve">3.3 </w:t>
      </w:r>
      <w:r>
        <w:rPr>
          <w:rFonts w:hint="eastAsia"/>
        </w:rPr>
        <w:t xml:space="preserve">生物标志物整合</w:t>
      </w:r>
    </w:p>
    <w:p>
      <w:pPr>
        <w:pStyle w:val="FirstParagraph"/>
      </w:pPr>
      <w:r>
        <w:rPr>
          <w:rFonts w:hint="eastAsia"/>
        </w:rPr>
        <w:t xml:space="preserve">平台系统整合了文献报道的7个糖基化相关生物标志物，涵盖诊断、复发预测和淋巴结转移预测三大临床场景（表1）。其中，IgG</w:t>
      </w:r>
      <w:r>
        <w:t xml:space="preserve"> </w:t>
      </w:r>
      <w:r>
        <w:rPr>
          <w:rFonts w:hint="eastAsia"/>
        </w:rPr>
        <w:t xml:space="preserve">BN标志物和Glyco-panel在发现队列中的AUC分别达到0.920和0.917，验证队列中BN区分TC与HC的AUC为0.896，区分TC与BTN的AUC为0.812（图3）。血清G0F:G1F比值预测复发的AUC为0.820（95%CI:</w:t>
      </w:r>
      <w:r>
        <w:t xml:space="preserve"> </w:t>
      </w:r>
      <w:r>
        <w:rPr>
          <w:rFonts w:hint="eastAsia"/>
        </w:rPr>
        <w:t xml:space="preserve">0.64–0.99）。CA4和A2F0S0G预测PTMC淋巴结转移的AUC分别为0.702和0.658。</w:t>
      </w:r>
    </w:p>
    <w:p>
      <w:pPr>
        <w:pStyle w:val="BodyText"/>
      </w:pPr>
      <w:r>
        <w:drawing>
          <wp:inline>
            <wp:extent cx="5334000" cy="2073709"/>
            <wp:effectExtent b="0" l="0" r="0" t="0"/>
            <wp:docPr descr="Table 2" title="" id="30" name="Picture"/>
            <a:graphic>
              <a:graphicData uri="http://schemas.openxmlformats.org/drawingml/2006/picture">
                <pic:pic>
                  <pic:nvPicPr>
                    <pic:cNvPr descr="figures/table2_biomarker_summary_en.png" id="31" name="Picture"/>
                    <pic:cNvPicPr>
                      <a:picLocks noChangeArrowheads="1" noChangeAspect="1"/>
                    </pic:cNvPicPr>
                  </pic:nvPicPr>
                  <pic:blipFill>
                    <a:blip r:embed="rId29"/>
                    <a:stretch>
                      <a:fillRect/>
                    </a:stretch>
                  </pic:blipFill>
                  <pic:spPr bwMode="auto">
                    <a:xfrm>
                      <a:off x="0" y="0"/>
                      <a:ext cx="5334000" cy="2073709"/>
                    </a:xfrm>
                    <a:prstGeom prst="rect">
                      <a:avLst/>
                    </a:prstGeom>
                    <a:noFill/>
                    <a:ln w="9525">
                      <a:noFill/>
                      <a:headEnd/>
                      <a:tailEnd/>
                    </a:ln>
                  </pic:spPr>
                </pic:pic>
              </a:graphicData>
            </a:graphic>
          </wp:inline>
        </w:drawing>
      </w:r>
      <w:r>
        <w:t xml:space="preserve"> </w:t>
      </w:r>
      <w:r>
        <w:rPr>
          <w:rFonts w:hint="eastAsia"/>
          <w:b/>
          <w:bCs/>
        </w:rPr>
        <w:t xml:space="preserve">表1</w:t>
      </w:r>
      <w:r>
        <w:t xml:space="preserve"> </w:t>
      </w:r>
      <w:r>
        <w:rPr>
          <w:rFonts w:hint="eastAsia"/>
        </w:rPr>
        <w:t xml:space="preserve">甲状腺癌糖基化诊断/预后标志物性能汇总</w:t>
      </w:r>
    </w:p>
    <w:p>
      <w:pPr>
        <w:pStyle w:val="BodyText"/>
      </w:pPr>
      <w:r>
        <w:drawing>
          <wp:inline>
            <wp:extent cx="5334000" cy="2950551"/>
            <wp:effectExtent b="0" l="0" r="0" t="0"/>
            <wp:docPr descr="Figure 2" title="" id="33" name="Picture"/>
            <a:graphic>
              <a:graphicData uri="http://schemas.openxmlformats.org/drawingml/2006/picture">
                <pic:pic>
                  <pic:nvPicPr>
                    <pic:cNvPr descr="figures/fig2_biomarker_auc_en.png" id="34" name="Picture"/>
                    <pic:cNvPicPr>
                      <a:picLocks noChangeArrowheads="1" noChangeAspect="1"/>
                    </pic:cNvPicPr>
                  </pic:nvPicPr>
                  <pic:blipFill>
                    <a:blip r:embed="rId32"/>
                    <a:stretch>
                      <a:fillRect/>
                    </a:stretch>
                  </pic:blipFill>
                  <pic:spPr bwMode="auto">
                    <a:xfrm>
                      <a:off x="0" y="0"/>
                      <a:ext cx="5334000" cy="2950551"/>
                    </a:xfrm>
                    <a:prstGeom prst="rect">
                      <a:avLst/>
                    </a:prstGeom>
                    <a:noFill/>
                    <a:ln w="9525">
                      <a:noFill/>
                      <a:headEnd/>
                      <a:tailEnd/>
                    </a:ln>
                  </pic:spPr>
                </pic:pic>
              </a:graphicData>
            </a:graphic>
          </wp:inline>
        </w:drawing>
      </w:r>
      <w:r>
        <w:t xml:space="preserve"> </w:t>
      </w:r>
      <w:r>
        <w:rPr>
          <w:rFonts w:hint="eastAsia"/>
          <w:b/>
          <w:bCs/>
        </w:rPr>
        <w:t xml:space="preserve">图3</w:t>
      </w:r>
      <w:r>
        <w:t xml:space="preserve"> </w:t>
      </w:r>
      <w:r>
        <w:rPr>
          <w:rFonts w:hint="eastAsia"/>
        </w:rPr>
        <w:t xml:space="preserve">已报道甲状腺癌糖基化标志物诊断性能比较</w:t>
      </w:r>
    </w:p>
    <w:bookmarkEnd w:id="35"/>
    <w:bookmarkStart w:id="39" w:name="tcga糖基因真实表达数据"/>
    <w:p>
      <w:pPr>
        <w:pStyle w:val="Heading3"/>
      </w:pPr>
      <w:r>
        <w:t xml:space="preserve">3.4 </w:t>
      </w:r>
      <w:r>
        <w:rPr>
          <w:rFonts w:hint="eastAsia"/>
        </w:rPr>
        <w:t xml:space="preserve">TCGA糖基因真实表达数据</w:t>
      </w:r>
    </w:p>
    <w:p>
      <w:pPr>
        <w:pStyle w:val="FirstParagraph"/>
      </w:pPr>
      <w:r>
        <w:rPr>
          <w:rFonts w:hint="eastAsia"/>
        </w:rPr>
        <w:t xml:space="preserve">平台整合了Bones等（2018）从TCGA-THCA队列中分析的20对配对样本（癌旁正常vs</w:t>
      </w:r>
      <w:r>
        <w:t xml:space="preserve"> </w:t>
      </w:r>
      <w:r>
        <w:rPr>
          <w:rFonts w:hint="eastAsia"/>
        </w:rPr>
        <w:t xml:space="preserve">PTC）的糖基转移酶median</w:t>
      </w:r>
      <w:r>
        <w:t xml:space="preserve"> </w:t>
      </w:r>
      <w:r>
        <w:rPr>
          <w:rFonts w:hint="eastAsia"/>
        </w:rPr>
        <w:t xml:space="preserve">RPKM数据。结果显示，ST6GAL1（α-2,6唾液酸转移酶）、MGAT5（β-1,6分支GlcNAc转移酶）和GAL3ST3（硫酸转移酶）在PTC中显著上调（fold</w:t>
      </w:r>
      <w:r>
        <w:t xml:space="preserve"> change </w:t>
      </w:r>
      <w:r>
        <w:rPr>
          <w:rFonts w:hint="eastAsia"/>
        </w:rPr>
        <w:t xml:space="preserve">1.50–1.72，p&lt;0.05），而MAN1A2、MAN2A1、MAN2A2（甘露糖苷酶）和B4GALT1（半乳糖转移酶）显著下调（fold</w:t>
      </w:r>
      <w:r>
        <w:t xml:space="preserve"> change </w:t>
      </w:r>
      <w:r>
        <w:rPr>
          <w:rFonts w:hint="eastAsia"/>
        </w:rPr>
        <w:t xml:space="preserve">0.69–0.74，p&lt;0.05）（图4）。这些数据直接来源于已发表的TCGA二次分析结果，未经过任何模拟或插值处理。</w:t>
      </w:r>
    </w:p>
    <w:p>
      <w:pPr>
        <w:pStyle w:val="BodyText"/>
      </w:pPr>
      <w:r>
        <w:drawing>
          <wp:inline>
            <wp:extent cx="5334000" cy="3165487"/>
            <wp:effectExtent b="0" l="0" r="0" t="0"/>
            <wp:docPr descr="Figure 3" title="" id="37" name="Picture"/>
            <a:graphic>
              <a:graphicData uri="http://schemas.openxmlformats.org/drawingml/2006/picture">
                <pic:pic>
                  <pic:nvPicPr>
                    <pic:cNvPr descr="figures/fig3_tcga_glycogene_en.png" id="38" name="Picture"/>
                    <pic:cNvPicPr>
                      <a:picLocks noChangeArrowheads="1" noChangeAspect="1"/>
                    </pic:cNvPicPr>
                  </pic:nvPicPr>
                  <pic:blipFill>
                    <a:blip r:embed="rId36"/>
                    <a:stretch>
                      <a:fillRect/>
                    </a:stretch>
                  </pic:blipFill>
                  <pic:spPr bwMode="auto">
                    <a:xfrm>
                      <a:off x="0" y="0"/>
                      <a:ext cx="5334000" cy="3165487"/>
                    </a:xfrm>
                    <a:prstGeom prst="rect">
                      <a:avLst/>
                    </a:prstGeom>
                    <a:noFill/>
                    <a:ln w="9525">
                      <a:noFill/>
                      <a:headEnd/>
                      <a:tailEnd/>
                    </a:ln>
                  </pic:spPr>
                </pic:pic>
              </a:graphicData>
            </a:graphic>
          </wp:inline>
        </w:drawing>
      </w:r>
      <w:r>
        <w:t xml:space="preserve"> </w:t>
      </w:r>
      <w:r>
        <w:rPr>
          <w:rFonts w:hint="eastAsia"/>
          <w:b/>
          <w:bCs/>
        </w:rPr>
        <w:t xml:space="preserve">图4</w:t>
      </w:r>
      <w:r>
        <w:t xml:space="preserve"> </w:t>
      </w:r>
      <w:r>
        <w:rPr>
          <w:rFonts w:hint="eastAsia"/>
        </w:rPr>
        <w:t xml:space="preserve">TCGA数据库中甲状腺癌糖基转移酶表达差异（真实数据，来源：Bones</w:t>
      </w:r>
      <w:r>
        <w:t xml:space="preserve"> et al. </w:t>
      </w:r>
      <w:r>
        <w:rPr>
          <w:rFonts w:hint="eastAsia"/>
        </w:rPr>
        <w:t xml:space="preserve">2018）</w:t>
      </w:r>
    </w:p>
    <w:bookmarkEnd w:id="39"/>
    <w:bookmarkStart w:id="43" w:name="糖基化改变模式总结"/>
    <w:p>
      <w:pPr>
        <w:pStyle w:val="Heading3"/>
      </w:pPr>
      <w:r>
        <w:t xml:space="preserve">3.5 </w:t>
      </w:r>
      <w:r>
        <w:rPr>
          <w:rFonts w:hint="eastAsia"/>
        </w:rPr>
        <w:t xml:space="preserve">糖基化改变模式总结</w:t>
      </w:r>
    </w:p>
    <w:p>
      <w:pPr>
        <w:pStyle w:val="FirstParagraph"/>
      </w:pPr>
      <w:r>
        <w:rPr>
          <w:rFonts w:hint="eastAsia"/>
        </w:rPr>
        <w:t xml:space="preserve">综合5项核心研究的数据，ThyGlycoPortal揭示了甲状腺癌中几种保守的糖基化改变模式（图5）：（A）复发性DTC患者血清中G0F升高、G1F和G2F降低，提示半乳糖基化缺陷与肿瘤复发相关；（B）PTC患者血浆IgG中BN双分支型糖链显著升高，具有优异的诊断价值；（C）TCGA数据显示PTC中唾液酸转移酶和分支酶上调，而甘露糖修剪酶和半乳糖转移酶下调，反映了糖基化通路的系统性重编程。</w:t>
      </w:r>
    </w:p>
    <w:p>
      <w:pPr>
        <w:pStyle w:val="BodyText"/>
      </w:pPr>
      <w:r>
        <w:drawing>
          <wp:inline>
            <wp:extent cx="5334000" cy="1977688"/>
            <wp:effectExtent b="0" l="0" r="0" t="0"/>
            <wp:docPr descr="Figure 5" title="" id="41" name="Picture"/>
            <a:graphic>
              <a:graphicData uri="http://schemas.openxmlformats.org/drawingml/2006/picture">
                <pic:pic>
                  <pic:nvPicPr>
                    <pic:cNvPr descr="figures/fig5_glycan_changes_en.png" id="42" name="Picture"/>
                    <pic:cNvPicPr>
                      <a:picLocks noChangeArrowheads="1" noChangeAspect="1"/>
                    </pic:cNvPicPr>
                  </pic:nvPicPr>
                  <pic:blipFill>
                    <a:blip r:embed="rId40"/>
                    <a:stretch>
                      <a:fillRect/>
                    </a:stretch>
                  </pic:blipFill>
                  <pic:spPr bwMode="auto">
                    <a:xfrm>
                      <a:off x="0" y="0"/>
                      <a:ext cx="5334000" cy="1977688"/>
                    </a:xfrm>
                    <a:prstGeom prst="rect">
                      <a:avLst/>
                    </a:prstGeom>
                    <a:noFill/>
                    <a:ln w="9525">
                      <a:noFill/>
                      <a:headEnd/>
                      <a:tailEnd/>
                    </a:ln>
                  </pic:spPr>
                </pic:pic>
              </a:graphicData>
            </a:graphic>
          </wp:inline>
        </w:drawing>
      </w:r>
      <w:r>
        <w:t xml:space="preserve"> </w:t>
      </w:r>
      <w:r>
        <w:rPr>
          <w:rFonts w:hint="eastAsia"/>
          <w:b/>
          <w:bCs/>
        </w:rPr>
        <w:t xml:space="preserve">图5</w:t>
      </w:r>
      <w:r>
        <w:t xml:space="preserve"> </w:t>
      </w:r>
      <w:r>
        <w:rPr>
          <w:rFonts w:hint="eastAsia"/>
        </w:rPr>
        <w:t xml:space="preserve">甲状腺癌糖基化改变模式总结</w:t>
      </w:r>
    </w:p>
    <w:bookmarkEnd w:id="43"/>
    <w:bookmarkStart w:id="47" w:name="与现有数据库的比较"/>
    <w:p>
      <w:pPr>
        <w:pStyle w:val="Heading3"/>
      </w:pPr>
      <w:r>
        <w:t xml:space="preserve">3.6 </w:t>
      </w:r>
      <w:r>
        <w:rPr>
          <w:rFonts w:hint="eastAsia"/>
        </w:rPr>
        <w:t xml:space="preserve">与现有数据库的比较</w:t>
      </w:r>
    </w:p>
    <w:p>
      <w:pPr>
        <w:pStyle w:val="FirstParagraph"/>
      </w:pPr>
      <w:r>
        <w:rPr>
          <w:rFonts w:hint="eastAsia"/>
        </w:rPr>
        <w:t xml:space="preserve">表2展示了ThyGlycoPortal与6个现有相关数据库的比较。通用型糖组学数据库（GlycoPOST、UniCarbKB、GlyConnect）虽然数据量大，但缺乏疾病特异性整合和临床分析工具；TCGA和THPA虽覆盖甲状腺癌，但对糖基化层次的信息支持极为有限。ThyGlycoPortal的独特优势在于：（1）甲状腺癌专病专研；（2）同时覆盖糖链水平、酶水平和临床标志物水平的多维数据；（3）提供交互式分析和临床决策工具，而非静态数据存储。</w:t>
      </w:r>
    </w:p>
    <w:p>
      <w:pPr>
        <w:pStyle w:val="BodyText"/>
      </w:pPr>
      <w:r>
        <w:drawing>
          <wp:inline>
            <wp:extent cx="5334000" cy="2506044"/>
            <wp:effectExtent b="0" l="0" r="0" t="0"/>
            <wp:docPr descr="Table 1" title="" id="45" name="Picture"/>
            <a:graphic>
              <a:graphicData uri="http://schemas.openxmlformats.org/drawingml/2006/picture">
                <pic:pic>
                  <pic:nvPicPr>
                    <pic:cNvPr descr="figures/table1_database_comparison_en.png" id="46" name="Picture"/>
                    <pic:cNvPicPr>
                      <a:picLocks noChangeArrowheads="1" noChangeAspect="1"/>
                    </pic:cNvPicPr>
                  </pic:nvPicPr>
                  <pic:blipFill>
                    <a:blip r:embed="rId44"/>
                    <a:stretch>
                      <a:fillRect/>
                    </a:stretch>
                  </pic:blipFill>
                  <pic:spPr bwMode="auto">
                    <a:xfrm>
                      <a:off x="0" y="0"/>
                      <a:ext cx="5334000" cy="2506044"/>
                    </a:xfrm>
                    <a:prstGeom prst="rect">
                      <a:avLst/>
                    </a:prstGeom>
                    <a:noFill/>
                    <a:ln w="9525">
                      <a:noFill/>
                      <a:headEnd/>
                      <a:tailEnd/>
                    </a:ln>
                  </pic:spPr>
                </pic:pic>
              </a:graphicData>
            </a:graphic>
          </wp:inline>
        </w:drawing>
      </w:r>
      <w:r>
        <w:t xml:space="preserve"> </w:t>
      </w:r>
      <w:r>
        <w:rPr>
          <w:rFonts w:hint="eastAsia"/>
          <w:b/>
          <w:bCs/>
        </w:rPr>
        <w:t xml:space="preserve">表2</w:t>
      </w:r>
      <w:r>
        <w:t xml:space="preserve"> </w:t>
      </w:r>
      <w:r>
        <w:rPr>
          <w:rFonts w:hint="eastAsia"/>
        </w:rPr>
        <w:t xml:space="preserve">现有糖组学/癌症数据库与ThyGlycoPortal比较</w:t>
      </w:r>
    </w:p>
    <w:p>
      <w:r>
        <w:pict>
          <v:rect style="width:0;height:1.5pt" o:hralign="center" o:hrstd="t" o:hr="t"/>
        </w:pict>
      </w:r>
    </w:p>
    <w:bookmarkEnd w:id="47"/>
    <w:bookmarkEnd w:id="48"/>
    <w:bookmarkStart w:id="53" w:name="讨论"/>
    <w:p>
      <w:pPr>
        <w:pStyle w:val="Heading2"/>
      </w:pPr>
      <w:r>
        <w:t xml:space="preserve">4. </w:t>
      </w:r>
      <w:r>
        <w:rPr>
          <w:rFonts w:hint="eastAsia"/>
        </w:rPr>
        <w:t xml:space="preserve">讨论</w:t>
      </w:r>
    </w:p>
    <w:bookmarkStart w:id="49" w:name="平台创新性与领域价值"/>
    <w:p>
      <w:pPr>
        <w:pStyle w:val="Heading3"/>
      </w:pPr>
      <w:r>
        <w:t xml:space="preserve">4.1 </w:t>
      </w:r>
      <w:r>
        <w:rPr>
          <w:rFonts w:hint="eastAsia"/>
        </w:rPr>
        <w:t xml:space="preserve">平台创新性与领域价值</w:t>
      </w:r>
    </w:p>
    <w:p>
      <w:pPr>
        <w:pStyle w:val="FirstParagraph"/>
      </w:pPr>
      <w:r>
        <w:rPr>
          <w:rFonts w:hint="eastAsia"/>
        </w:rPr>
        <w:t xml:space="preserve">ThyGlycoPortal的构建基于一个明确的领域洞察：尽管甲状腺癌糖组学研究在过去五年取得了显著进展（图1），但研究成果呈碎片化分布，临床医生和基础研究人员缺乏一个统一的入口来浏览、比较和转化这些发现。本平台首次将散在文献中的糖链丰度数据、标志物性能参数和TCGA基因表达数据整合到一个可交互的框架中，显著降低了数据获取和解读的门槛。</w:t>
      </w:r>
    </w:p>
    <w:p>
      <w:pPr>
        <w:pStyle w:val="BodyText"/>
      </w:pPr>
      <w:r>
        <w:rPr>
          <w:rFonts w:hint="eastAsia"/>
        </w:rPr>
        <w:t xml:space="preserve">平台的9大功能模块覆盖了从基础研究到临床应用的完整链条。特别是”Diagnostic</w:t>
      </w:r>
      <w:r>
        <w:t xml:space="preserve"> </w:t>
      </w:r>
      <w:r>
        <w:rPr>
          <w:rFonts w:hint="eastAsia"/>
        </w:rPr>
        <w:t xml:space="preserve">Tool”和”Nomogram”模块，将文献报道的统计模型转化为可实时计算的在线工具，使临床医生能够输入患者糖组学数据并获得风险分层建议，具有重要的转化医学价值。</w:t>
      </w:r>
    </w:p>
    <w:bookmarkEnd w:id="49"/>
    <w:bookmarkStart w:id="50" w:name="真实数据优先策略的方法学意义"/>
    <w:p>
      <w:pPr>
        <w:pStyle w:val="Heading3"/>
      </w:pPr>
      <w:r>
        <w:t xml:space="preserve">4.2</w:t>
      </w:r>
      <w:r>
        <w:t xml:space="preserve"> </w:t>
      </w:r>
      <w:r>
        <w:rPr>
          <w:rFonts w:hint="eastAsia"/>
        </w:rPr>
        <w:t xml:space="preserve">“真实数据优先”</w:t>
      </w:r>
      <w:r>
        <w:rPr>
          <w:rFonts w:hint="eastAsia"/>
        </w:rPr>
        <w:t xml:space="preserve">策略的方法学意义</w:t>
      </w:r>
    </w:p>
    <w:p>
      <w:pPr>
        <w:pStyle w:val="FirstParagraph"/>
      </w:pPr>
      <w:r>
        <w:rPr>
          <w:rFonts w:hint="eastAsia"/>
        </w:rPr>
        <w:t xml:space="preserve">生物信息学平台的可信度取决于其底层数据的质量。近年来，随着人工智能和生成式模型的普及，</w:t>
      </w:r>
      <w:r>
        <w:rPr>
          <w:rFonts w:hint="eastAsia"/>
        </w:rPr>
        <w:t xml:space="preserve">“AI生成数据”</w:t>
      </w:r>
      <w:r>
        <w:rPr>
          <w:rFonts w:hint="eastAsia"/>
        </w:rPr>
        <w:t xml:space="preserve">与”真实实验数据”之间的界限日益模糊。本研究提出的”去模拟化”（De-simulation）策略不仅是一种技术操作，更是一种数据伦理声明：我们主张，用于临床决策支持的数据库必须建立在可溯源、可验证的真实观测基础之上。</w:t>
      </w:r>
    </w:p>
    <w:p>
      <w:pPr>
        <w:pStyle w:val="BodyText"/>
      </w:pPr>
      <w:r>
        <w:rPr>
          <w:rFonts w:hint="eastAsia"/>
        </w:rPr>
        <w:t xml:space="preserve">具体而言，ThyGlycoPortal通过以下机制保障数据真实性：（1）所有汇总统计量均直接提取自同行评议文献的图表和表格，并通过双人独立提取+第三方复核降低误差；（2）TCGA数据采用已发表的二次分析结果（median</w:t>
      </w:r>
      <w:r>
        <w:t xml:space="preserve"> </w:t>
      </w:r>
      <w:r>
        <w:rPr>
          <w:rFonts w:hint="eastAsia"/>
        </w:rPr>
        <w:t xml:space="preserve">RPKM），而非从原始count数据重新计算，确保了与原文献的一致性；（3）平台界面强制展示数据来源标识，使用户对每项数据的出处一目了然。这种透明性设计应成为未来生物医学数据库建设的行业标准。</w:t>
      </w:r>
    </w:p>
    <w:bookmarkEnd w:id="50"/>
    <w:bookmarkStart w:id="51" w:name="局限性"/>
    <w:p>
      <w:pPr>
        <w:pStyle w:val="Heading3"/>
      </w:pPr>
      <w:r>
        <w:t xml:space="preserve">4.3 </w:t>
      </w:r>
      <w:r>
        <w:rPr>
          <w:rFonts w:hint="eastAsia"/>
        </w:rPr>
        <w:t xml:space="preserve">局限性</w:t>
      </w:r>
    </w:p>
    <w:p>
      <w:pPr>
        <w:pStyle w:val="FirstParagraph"/>
      </w:pPr>
      <w:r>
        <w:rPr>
          <w:rFonts w:hint="eastAsia"/>
        </w:rPr>
        <w:t xml:space="preserve">本研究存在以下局限性：首先，由于原始作者通常不公开个体水平的原始数据，当前数据库主要包含文献报告的汇总统计量（均值±SD、中位数、AUC），而非个体样本数据，这限制了个体化预测模型的构建。其次，TCGA糖基因表达数据来自Bones等（2018）对20对配对样本的分析，样本量相对有限，未来需整合更大规模的TCGA-THCA队列（n&gt;500）进行验证。第三，当前平台主要覆盖N-糖基化数据，对O-糖基化、糖脂和糖胺聚糖等其他糖组学维度的支持尚待扩展。</w:t>
      </w:r>
    </w:p>
    <w:bookmarkEnd w:id="51"/>
    <w:bookmarkStart w:id="52" w:name="未来发展方向"/>
    <w:p>
      <w:pPr>
        <w:pStyle w:val="Heading3"/>
      </w:pPr>
      <w:r>
        <w:t xml:space="preserve">4.4 </w:t>
      </w:r>
      <w:r>
        <w:rPr>
          <w:rFonts w:hint="eastAsia"/>
        </w:rPr>
        <w:t xml:space="preserve">未来发展方向</w:t>
      </w:r>
    </w:p>
    <w:p>
      <w:pPr>
        <w:pStyle w:val="FirstParagraph"/>
      </w:pPr>
      <w:r>
        <w:rPr>
          <w:rFonts w:hint="eastAsia"/>
        </w:rPr>
        <w:t xml:space="preserve">下一步工作将重点推进以下方面：（1）</w:t>
      </w:r>
      <w:r>
        <w:rPr>
          <w:rFonts w:hint="eastAsia"/>
          <w:b/>
          <w:bCs/>
        </w:rPr>
        <w:t xml:space="preserve">数据量扩展</w:t>
      </w:r>
      <w:r>
        <w:rPr>
          <w:rFonts w:hint="eastAsia"/>
        </w:rPr>
        <w:t xml:space="preserve">：通过TCGAbiolinks下载完整TCGA-THCA</w:t>
      </w:r>
      <w:r>
        <w:t xml:space="preserve"> raw </w:t>
      </w:r>
      <w:r>
        <w:rPr>
          <w:rFonts w:hint="eastAsia"/>
        </w:rPr>
        <w:t xml:space="preserve">count数据，进行独立的糖基因差异表达分析；从GlycoPOST获取原始质谱数据（GPST000197,</w:t>
      </w:r>
      <w:r>
        <w:t xml:space="preserve"> </w:t>
      </w:r>
      <w:r>
        <w:rPr>
          <w:rFonts w:hint="eastAsia"/>
        </w:rPr>
        <w:t xml:space="preserve">GPST000495）进行再分析。（2）</w:t>
      </w:r>
      <w:r>
        <w:rPr>
          <w:rFonts w:hint="eastAsia"/>
          <w:b/>
          <w:bCs/>
        </w:rPr>
        <w:t xml:space="preserve">功能增强</w:t>
      </w:r>
      <w:r>
        <w:rPr>
          <w:rFonts w:hint="eastAsia"/>
        </w:rPr>
        <w:t xml:space="preserve">：开发在线ROC分析工具，支持用户上传自有标志物数据并与文献基准比较；整合单细胞RNA-seq数据以解析糖基化通路的细胞异质性。（3）</w:t>
      </w:r>
      <w:r>
        <w:rPr>
          <w:rFonts w:hint="eastAsia"/>
          <w:b/>
          <w:bCs/>
        </w:rPr>
        <w:t xml:space="preserve">国际合作</w:t>
      </w:r>
      <w:r>
        <w:rPr>
          <w:rFonts w:hint="eastAsia"/>
        </w:rPr>
        <w:t xml:space="preserve">：建立标准化的甲状腺癌糖组学数据提交模板，邀请领域专家参与数据审校和功能迭代。</w:t>
      </w:r>
    </w:p>
    <w:p>
      <w:r>
        <w:pict>
          <v:rect style="width:0;height:1.5pt" o:hralign="center" o:hrstd="t" o:hr="t"/>
        </w:pict>
      </w:r>
    </w:p>
    <w:bookmarkEnd w:id="52"/>
    <w:bookmarkEnd w:id="53"/>
    <w:bookmarkStart w:id="54" w:name="结论"/>
    <w:p>
      <w:pPr>
        <w:pStyle w:val="Heading2"/>
      </w:pPr>
      <w:r>
        <w:t xml:space="preserve">5. </w:t>
      </w:r>
      <w:r>
        <w:rPr>
          <w:rFonts w:hint="eastAsia"/>
        </w:rPr>
        <w:t xml:space="preserve">结论</w:t>
      </w:r>
    </w:p>
    <w:p>
      <w:pPr>
        <w:pStyle w:val="FirstParagraph"/>
      </w:pPr>
      <w:r>
        <w:rPr>
          <w:rFonts w:hint="eastAsia"/>
        </w:rPr>
        <w:t xml:space="preserve">ThyGlycoPortal是首个专注于甲状腺癌糖基化研究的交互式分析平台，填补了该领域专用数据库和临床转化工具的空白。平台基于严格的真实文献数据构建策略，整合了11项研究、24种N-糖链、7个验证标志物和10个TCGA糖基因的完整信息。其”去模拟化”的数据治理理念为生物信息学平台的可信度建设提供了可复现的范式。ThyGlycoPortal将助力临床医生和研究人员更高效地挖掘糖组学数据的诊断和预后价值，推动甲状腺癌精准医学的发展。</w:t>
      </w:r>
    </w:p>
    <w:p>
      <w:r>
        <w:pict>
          <v:rect style="width:0;height:1.5pt" o:hralign="center" o:hrstd="t" o:hr="t"/>
        </w:pict>
      </w:r>
    </w:p>
    <w:bookmarkEnd w:id="54"/>
    <w:bookmarkStart w:id="55" w:name="利益冲突声明"/>
    <w:p>
      <w:pPr>
        <w:pStyle w:val="Heading2"/>
      </w:pPr>
      <w:r>
        <w:rPr>
          <w:rFonts w:hint="eastAsia"/>
        </w:rPr>
        <w:t xml:space="preserve">利益冲突声明</w:t>
      </w:r>
    </w:p>
    <w:p>
      <w:pPr>
        <w:pStyle w:val="FirstParagraph"/>
      </w:pPr>
      <w:r>
        <w:rPr>
          <w:rFonts w:hint="eastAsia"/>
        </w:rPr>
        <w:t xml:space="preserve">作者声明不存在利益冲突。</w:t>
      </w:r>
    </w:p>
    <w:bookmarkEnd w:id="55"/>
    <w:bookmarkStart w:id="56" w:name="数据可用性声明"/>
    <w:p>
      <w:pPr>
        <w:pStyle w:val="Heading2"/>
      </w:pPr>
      <w:r>
        <w:rPr>
          <w:rFonts w:hint="eastAsia"/>
        </w:rPr>
        <w:t xml:space="preserve">数据可用性声明</w:t>
      </w:r>
    </w:p>
    <w:p>
      <w:pPr>
        <w:pStyle w:val="FirstParagraph"/>
      </w:pPr>
      <w:r>
        <w:rPr>
          <w:rFonts w:hint="eastAsia"/>
        </w:rPr>
        <w:t xml:space="preserve">ThyGlycoPortal平台源代码和数据库构建脚本已开源（GitHub）。所有底层数据均来源于已发表的同行评议文献，原始文献信息已在平台各模块中完整标注。</w:t>
      </w:r>
    </w:p>
    <w:p>
      <w:r>
        <w:pict>
          <v:rect style="width:0;height:1.5pt" o:hralign="center" o:hrstd="t" o:hr="t"/>
        </w:pict>
      </w:r>
    </w:p>
    <w:bookmarkEnd w:id="56"/>
    <w:bookmarkStart w:id="57" w:name="参考文献"/>
    <w:p>
      <w:pPr>
        <w:pStyle w:val="Heading2"/>
      </w:pPr>
      <w:r>
        <w:rPr>
          <w:rFonts w:hint="eastAsia"/>
        </w:rPr>
        <w:t xml:space="preserve">参考文献</w:t>
      </w:r>
    </w:p>
    <w:p>
      <w:pPr>
        <w:pStyle w:val="FirstParagraph"/>
      </w:pPr>
      <w:r>
        <w:t xml:space="preserve">[1] Sung H, Ferlay J, Siegel RL, et al. Global Cancer Statistics 2020: GLOBOCAN Estimates of Incidence and Mortality Worldwide for 36 Cancers in 185 Countries. CA Cancer J Clin. 2021;71(3):209-249.</w:t>
      </w:r>
    </w:p>
    <w:p>
      <w:pPr>
        <w:pStyle w:val="BodyText"/>
      </w:pPr>
      <w:r>
        <w:t xml:space="preserve">[2] Cabanillas ME, McFadden DG, Durante C. Thyroid cancer. Lancet. 2016;388(10061):2783-2795.</w:t>
      </w:r>
    </w:p>
    <w:p>
      <w:pPr>
        <w:pStyle w:val="BodyText"/>
      </w:pPr>
      <w:r>
        <w:t xml:space="preserve">[3] Cibas ES, Ali SZ. The 2017 Bethesda System for Reporting Thyroid Cytopathology. Thyroid. 2017;27(11):1341-1346.</w:t>
      </w:r>
    </w:p>
    <w:p>
      <w:pPr>
        <w:pStyle w:val="BodyText"/>
      </w:pPr>
      <w:r>
        <w:t xml:space="preserve">[4] Pinho SS, Reis CA. Glycosylation in cancer: mechanisms and clinical implications. Nat Rev Cancer. 2015;15(9):540-555.</w:t>
      </w:r>
    </w:p>
    <w:p>
      <w:pPr>
        <w:pStyle w:val="BodyText"/>
      </w:pPr>
      <w:r>
        <w:t xml:space="preserve">[5] Vajaria BN, Patel PS. Glycosylation: A hallmark of cancer? Glycoconj J. 2017;34(2):147-156.</w:t>
      </w:r>
    </w:p>
    <w:p>
      <w:pPr>
        <w:pStyle w:val="BodyText"/>
      </w:pPr>
      <w:r>
        <w:t xml:space="preserve">[6] Zhang ZJ, Wu JF, Wang YL, et al. IgG N-Glycan as a Novel Diagnostic Biomarker for Papillary Thyroid Cancer. Front Oncol. 2021;11:658223.</w:t>
      </w:r>
    </w:p>
    <w:p>
      <w:pPr>
        <w:pStyle w:val="BodyText"/>
      </w:pPr>
      <w:r>
        <w:t xml:space="preserve">[7] Kudelka MR, Holst S, Champattanachai V, et al. Serum N-glycome analysis of differentiated thyroid cancer. Cancer Med. 2023;12(5):e5465.</w:t>
      </w:r>
    </w:p>
    <w:p>
      <w:pPr>
        <w:pStyle w:val="BodyText"/>
      </w:pPr>
      <w:r>
        <w:t xml:space="preserve">[8] Nomograms Based on Serum N-glycome for Papillary Thyroid Microcarcinoma. Front Oncol. 2022;12:9497917.</w:t>
      </w:r>
    </w:p>
    <w:p>
      <w:pPr>
        <w:pStyle w:val="BodyText"/>
      </w:pPr>
      <w:r>
        <w:t xml:space="preserve">[9] Watanabe Y, Katayama T, Klamer BE, et al. GlycoPOST: A database for glycoproteomics. Glycobiology. 2021;31(8):895-899.</w:t>
      </w:r>
    </w:p>
    <w:p>
      <w:pPr>
        <w:pStyle w:val="BodyText"/>
      </w:pPr>
      <w:r>
        <w:t xml:space="preserve">[10] Hayes CA, Karlsson NG, Struwe WB, et al. UniCarbKB: An informatics framework for glycobiology. Biochim Biophys Acta. 2014;1844(9):1724-1729.</w:t>
      </w:r>
    </w:p>
    <w:p>
      <w:pPr>
        <w:pStyle w:val="BodyText"/>
      </w:pPr>
      <w:r>
        <w:t xml:space="preserve">[11] Togayachi A, Kono M, Kato K, et al. GlycoGene DataBase (GGDB). Glycobiology. 2020;30(5):322-324.</w:t>
      </w:r>
    </w:p>
    <w:p>
      <w:pPr>
        <w:pStyle w:val="BodyText"/>
      </w:pPr>
      <w:r>
        <w:t xml:space="preserve">[12] Ioannidis JPA. Why most published research findings are false. PLoS Med. 2005;2(8):e124.</w:t>
      </w:r>
    </w:p>
    <w:p>
      <w:r>
        <w:pict>
          <v:rect style="width:0;height:1.5pt" o:hralign="center" o:hrstd="t" o:hr="t"/>
        </w:pict>
      </w:r>
    </w:p>
    <w:p>
      <w:pPr>
        <w:pStyle w:val="FirstParagraph"/>
      </w:pPr>
      <w:r>
        <w:rPr>
          <w:rFonts w:hint="eastAsia"/>
          <w:i/>
          <w:iCs/>
        </w:rPr>
        <w:t xml:space="preserve">图表文件说明</w:t>
      </w:r>
      <w:r>
        <w:t xml:space="preserve"> </w:t>
      </w:r>
      <w:r>
        <w:t xml:space="preserve">- </w:t>
      </w:r>
      <w:r>
        <w:rPr>
          <w:rFonts w:hint="eastAsia"/>
        </w:rPr>
        <w:t xml:space="preserve">图1:</w:t>
      </w:r>
      <w:r>
        <w:t xml:space="preserve"> </w:t>
      </w:r>
      <w:r>
        <w:rPr>
          <w:rStyle w:val="VerbatimChar"/>
        </w:rPr>
        <w:t xml:space="preserve">figures/fig1_literature_trend_en.png</w:t>
      </w:r>
      <w:r>
        <w:t xml:space="preserve"> </w:t>
      </w:r>
      <w:r>
        <w:t xml:space="preserve">— </w:t>
      </w:r>
      <w:r>
        <w:rPr>
          <w:rFonts w:hint="eastAsia"/>
        </w:rPr>
        <w:t xml:space="preserve">文献年份分布</w:t>
      </w:r>
      <w:r>
        <w:t xml:space="preserve"> </w:t>
      </w:r>
      <w:r>
        <w:t xml:space="preserve">- </w:t>
      </w:r>
      <w:r>
        <w:rPr>
          <w:rFonts w:hint="eastAsia"/>
        </w:rPr>
        <w:t xml:space="preserve">图2:</w:t>
      </w:r>
      <w:r>
        <w:t xml:space="preserve"> </w:t>
      </w:r>
      <w:r>
        <w:rPr>
          <w:rStyle w:val="VerbatimChar"/>
        </w:rPr>
        <w:t xml:space="preserve">figures/fig4_platform_architecture_en.png</w:t>
      </w:r>
      <w:r>
        <w:t xml:space="preserve"> </w:t>
      </w:r>
      <w:r>
        <w:t xml:space="preserve">— </w:t>
      </w:r>
      <w:r>
        <w:rPr>
          <w:rFonts w:hint="eastAsia"/>
        </w:rPr>
        <w:t xml:space="preserve">平台架构</w:t>
      </w:r>
      <w:r>
        <w:t xml:space="preserve"> </w:t>
      </w:r>
      <w:r>
        <w:t xml:space="preserve">- </w:t>
      </w:r>
      <w:r>
        <w:rPr>
          <w:rFonts w:hint="eastAsia"/>
        </w:rPr>
        <w:t xml:space="preserve">图3:</w:t>
      </w:r>
      <w:r>
        <w:t xml:space="preserve"> </w:t>
      </w:r>
      <w:r>
        <w:rPr>
          <w:rStyle w:val="VerbatimChar"/>
        </w:rPr>
        <w:t xml:space="preserve">figures/fig2_biomarker_auc_en.png</w:t>
      </w:r>
      <w:r>
        <w:t xml:space="preserve"> </w:t>
      </w:r>
      <w:r>
        <w:t xml:space="preserve">— </w:t>
      </w:r>
      <w:r>
        <w:rPr>
          <w:rFonts w:hint="eastAsia"/>
        </w:rPr>
        <w:t xml:space="preserve">标志物AUC对比</w:t>
      </w:r>
      <w:r>
        <w:t xml:space="preserve"> </w:t>
      </w:r>
      <w:r>
        <w:t xml:space="preserve">- </w:t>
      </w:r>
      <w:r>
        <w:rPr>
          <w:rFonts w:hint="eastAsia"/>
        </w:rPr>
        <w:t xml:space="preserve">图4:</w:t>
      </w:r>
      <w:r>
        <w:t xml:space="preserve"> </w:t>
      </w:r>
      <w:r>
        <w:rPr>
          <w:rStyle w:val="VerbatimChar"/>
        </w:rPr>
        <w:t xml:space="preserve">figures/fig3_tcga_glycogene_en.png</w:t>
      </w:r>
      <w:r>
        <w:t xml:space="preserve"> </w:t>
      </w:r>
      <w:r>
        <w:t xml:space="preserve">— </w:t>
      </w:r>
      <w:r>
        <w:rPr>
          <w:rFonts w:hint="eastAsia"/>
        </w:rPr>
        <w:t xml:space="preserve">TCGA糖基因表达</w:t>
      </w:r>
      <w:r>
        <w:t xml:space="preserve"> </w:t>
      </w:r>
      <w:r>
        <w:t xml:space="preserve">- </w:t>
      </w:r>
      <w:r>
        <w:rPr>
          <w:rFonts w:hint="eastAsia"/>
        </w:rPr>
        <w:t xml:space="preserve">图5:</w:t>
      </w:r>
      <w:r>
        <w:t xml:space="preserve"> </w:t>
      </w:r>
      <w:r>
        <w:rPr>
          <w:rStyle w:val="VerbatimChar"/>
        </w:rPr>
        <w:t xml:space="preserve">figures/fig5_glycan_changes_en.png</w:t>
      </w:r>
      <w:r>
        <w:t xml:space="preserve"> </w:t>
      </w:r>
      <w:r>
        <w:t xml:space="preserve">— </w:t>
      </w:r>
      <w:r>
        <w:rPr>
          <w:rFonts w:hint="eastAsia"/>
        </w:rPr>
        <w:t xml:space="preserve">糖基化改变模式</w:t>
      </w:r>
      <w:r>
        <w:t xml:space="preserve"> </w:t>
      </w:r>
      <w:r>
        <w:t xml:space="preserve">- </w:t>
      </w:r>
      <w:r>
        <w:rPr>
          <w:rFonts w:hint="eastAsia"/>
        </w:rPr>
        <w:t xml:space="preserve">表1:</w:t>
      </w:r>
      <w:r>
        <w:t xml:space="preserve"> </w:t>
      </w:r>
      <w:r>
        <w:rPr>
          <w:rStyle w:val="VerbatimChar"/>
        </w:rPr>
        <w:t xml:space="preserve">figures/table2_biomarker_summary_en.png</w:t>
      </w:r>
      <w:r>
        <w:t xml:space="preserve"> </w:t>
      </w:r>
      <w:r>
        <w:t xml:space="preserve">— </w:t>
      </w:r>
      <w:r>
        <w:rPr>
          <w:rFonts w:hint="eastAsia"/>
        </w:rPr>
        <w:t xml:space="preserve">标志物汇总表</w:t>
      </w:r>
      <w:r>
        <w:t xml:space="preserve"> </w:t>
      </w:r>
      <w:r>
        <w:t xml:space="preserve">- </w:t>
      </w:r>
      <w:r>
        <w:rPr>
          <w:rFonts w:hint="eastAsia"/>
        </w:rPr>
        <w:t xml:space="preserve">表2:</w:t>
      </w:r>
      <w:r>
        <w:t xml:space="preserve"> </w:t>
      </w:r>
      <w:r>
        <w:rPr>
          <w:rStyle w:val="VerbatimChar"/>
        </w:rPr>
        <w:t xml:space="preserve">figures/table1_database_comparison_en.png</w:t>
      </w:r>
      <w:r>
        <w:t xml:space="preserve"> </w:t>
      </w:r>
      <w:r>
        <w:t xml:space="preserve">— </w:t>
      </w:r>
      <w:r>
        <w:rPr>
          <w:rFonts w:hint="eastAsia"/>
        </w:rPr>
        <w:t xml:space="preserve">数据库比较表</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25" Target="media/rId25.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2026-05-01T08:43:11Z</dcterms:created>
  <dcterms:modified xsi:type="dcterms:W3CDTF">2026-05-01T08:43:11Z</dcterms:modified>
</cp:coreProperties>
</file>

<file path=docProps/custom.xml><?xml version="1.0" encoding="utf-8"?>
<Properties xmlns="http://schemas.openxmlformats.org/officeDocument/2006/custom-properties" xmlns:vt="http://schemas.openxmlformats.org/officeDocument/2006/docPropsVTypes"/>
</file>