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针灸治疗痉挛知识图谱分析</w:t>
      </w:r>
    </w:p>
    <w:p>
      <w:r>
        <w:t>版本说明：本稿按WoS Core Collection与PubMed双库研究设计重写。当前仅有既往PubMed数据，WoS导出、严格书目完整性重筛及CiteSpace运行尚未完成；正文“待核定”均为待实际计算项目。本稿为待补数据工作稿，不能作为已完成双库分析的投稿终稿。</w:t>
      </w:r>
    </w:p>
    <w:p>
      <w:pPr>
        <w:pStyle w:val="Heading1"/>
      </w:pPr>
      <w:r>
        <w:t>摘要</w:t>
      </w:r>
    </w:p>
    <w:p>
      <w:r>
        <w:t>目的：基于WoS Core Collection与PubMed收录文献，分析针灸治疗痉挛领域的发文趋势、合作结构、期刊分布及关键词演变，为识别研究主题和后续研究方向提供依据。</w:t>
      </w:r>
    </w:p>
    <w:p>
      <w:r>
        <w:t>方法：拟检索两库建库至2026年10月10日发表的英文研究论文与综述。文献按DOI、PMID及题名等信息去重，合并书目字段后，依据主题、出版类型及书目信息完整性筛选。拟采用CiteSpace开展国家、机构、作者合作网络和关键词共现、聚类、时间演变及突现分析；采用Excel计算年度发文趋势的拟合优度R²，并构建作者—关键词—来源期刊三字段桑基图。共被引分析另依据引文数据覆盖情况确定适用集合。</w:t>
      </w:r>
    </w:p>
    <w:p>
      <w:r>
        <w:t>结果：双库最终纳入篇数、年度分布、各类排名、网络中心性、聚类质量及突现结果均待WoS数据补入和正式分析后核定。</w:t>
      </w:r>
    </w:p>
    <w:p>
      <w:r>
        <w:t>结论：待完成双库合并及分析后，依据实际网络与时间序列结果形成结论；不以既往单库结果替代双库研究发现。</w:t>
      </w:r>
    </w:p>
    <w:p>
      <w:r>
        <w:t>关键词：针灸；电针；艾灸；干针；痉挛；知识图谱；文献计量分析。</w:t>
      </w:r>
    </w:p>
    <w:p>
      <w:pPr>
        <w:pStyle w:val="Heading1"/>
      </w:pPr>
      <w:r>
        <w:t>1 引言</w:t>
      </w:r>
    </w:p>
    <w:p>
      <w:r>
        <w:t>痉挛相关问题涉及多种疾病和治疗场景。针刺、电针、艾灸、火针和干针等干预在不同疾病中已有研究，但其术语、研究对象及作用机制存在差异。随着文献积累，有必要从出版物分布、合作关系及研究主题的时间变化等方面，系统描述这一领域的知识结构。</w:t>
      </w:r>
    </w:p>
    <w:p>
      <w:r>
        <w:t>文献计量分析可以揭示高产国家、机构和作者，关键词共现与聚类分析能够呈现主题联系，时间图谱及突现检测有助于定位受到集中关注的研究议题。这些结果反映出版与传播特征，不能直接用于判断治疗有效性或证据质量。</w:t>
      </w:r>
    </w:p>
    <w:p>
      <w:r>
        <w:t>本研究按spasm与spasticity的广义检索范围开展，并在筛选时记录疾病与痉挛类型。神经性痉挛、面肌痉挛及其他部位的痉挛分别标注，以免将不同疾病解释为同一临床实体。研究拟联合WoS Core Collection与PubMed，减少单库覆盖差异对描述性结论的影响，依次考察出版趋势、合作网络、来源期刊、关键词结构及时间演变。</w:t>
      </w:r>
    </w:p>
    <w:p>
      <w:pPr>
        <w:pStyle w:val="Heading1"/>
      </w:pPr>
      <w:r>
        <w:t>2 资料与方法</w:t>
      </w:r>
    </w:p>
    <w:p>
      <w:pPr>
        <w:pStyle w:val="Heading2"/>
      </w:pPr>
      <w:r>
        <w:t>2.1 数据来源与检索策略</w:t>
      </w:r>
    </w:p>
    <w:p>
      <w:r>
        <w:t>数据源为Web of Science Core Collection（WoS CC，具体引文索引待导出时记录）与PubMed，发表日期范围为建库至2026年10月10日。分别记录实际检索日期、完整检索式、数据库检索转换、命中数和导出批次。发表截止日期不等同于实际检索日期；截止日之后补检的记录，应说明其属于回溯检索而非截止日当天的历史快照。2026年数据为不完整年度。</w:t>
      </w:r>
    </w:p>
    <w:p>
      <w:pPr>
        <w:keepNext/>
      </w:pPr>
      <w:r>
        <w:t>WoS CC原式为：</w:t>
      </w:r>
    </w:p>
    <w:p>
      <w:r>
        <w:t>TS=((acupuncture OR electroacupuncture OR moxibustion OR fire needle OR dry needle) AND (spasm OR spasticity))</w:t>
      </w:r>
    </w:p>
    <w:p>
      <w:pPr>
        <w:keepNext/>
      </w:pPr>
      <w:r>
        <w:t>PubMed原式为：</w:t>
      </w:r>
    </w:p>
    <w:p>
      <w:r>
        <w:t>(("Acupuncture Therapy"[MeSH Terms] OR acupuncture[Title/Abstract] OR electroacupuncture[Title/Abstract] OR moxibustion[Title/Abstract] OR "dry needle"[Title/Abstract] OR "fire needle"[Title/Abstract]) AND ("Spasm"[MeSH Terms] OR spasm[Title/Abstract] OR spasticity[Title/Abstract]))</w:t>
      </w:r>
    </w:p>
    <w:p>
      <w:r>
        <w:t>PubMed执行时追加发表日期限制：AND ("1800/01/01"[Date - Publication] : "2026/10/10"[Date - Publication])。该下限仅用于构造可执行日期区间，不表示数据库实际起始年。WoS先按年份检索，再逐条核验2026年文献的发表日期，排除截止日后发表的文献；日期不详者单列待核查，不默认纳入。保留电子发表与正式刊期，优先以首次公开发表日期核定资格，并在年度统计中采用一致规则。</w:t>
      </w:r>
    </w:p>
    <w:p>
      <w:r>
        <w:t>原式为本研究拟执行的主检索，不将既往扩展检索604条记录直接称作本次主检索命中数。另拟开展检索敏感性分析：在痉挛概念组增加"Muscle Spasticity"[MeSH Terms]、spasm*及spastic*，在干预组增加dry needl*、fire needl*及electro-acupuncture等词形；WoS采用对应自由词。Spasm与Muscle Spasticity为不同MeSH概念，补充后需完整保存实际执行式与结果，而非悄然替换原式[1–2]。敏感性检索单独报告新增记录及其中合格文献数量，不混淆主分析与扩展集合。</w:t>
      </w:r>
    </w:p>
    <w:p>
      <w:r>
        <w:t>WoS导出选择Plain Text及“Full Record and Cited References”；PubMed保存XML或NBIB及完整摘要、作者、机构和关键词。检索阶段尽量保留全部出版类型，在筛选阶段执行英文与文献类型标准，以便审计病例报告、社论及信函等删除数量。</w:t>
      </w:r>
    </w:p>
    <w:p>
      <w:pPr>
        <w:pStyle w:val="Heading2"/>
      </w:pPr>
      <w:r>
        <w:t>2.2 纳入与排除标准</w:t>
      </w:r>
    </w:p>
    <w:p>
      <w:r>
        <w:t>纳入条件为：①首次发表日期在建库至2026年10月10日之间；②可获取摘要或全文，足以判断研究资格；③全文发表语言为英文；④为针灸治疗痉挛相关研究论文或综述。仅有英文摘要的非英文论文不满足语言条件。</w:t>
      </w:r>
    </w:p>
    <w:p>
      <w:r>
        <w:t>排除条件为：①重复记录或重复发表；②研究论文和综述以外的出版物，包括会议摘要、病例报告、报告、通知、信函及编辑材料；③与痉挛无关，或未评价目标针灸干预；④书目信息不完整，尤其缺少出版年份、作者姓名、所属机构或关键词，经跨库合并与可核实来源补全后仍不完整；⑤无可核实摘要或全文。病例系列与病例报告须核查实际设计，保留数据库类型及最终判定依据，避免将具有系统方法的研究仅因标签误排。</w:t>
      </w:r>
    </w:p>
    <w:p>
      <w:r>
        <w:t>本稿沿用广义痉挛范围；各疾病需有明确痉挛治疗问题，不能仅因背景段落出现spasm而纳入。单纯健康人针刺安全性、一般疼痛研究、痉挛仅作为不良事件的研究，以及针灸仅为背景治疗清单的文献，按主题不符排除。针刀、单纯穴位按压与无针电刺激不自动归入所列针灸干预。</w:t>
      </w:r>
    </w:p>
    <w:p>
      <w:pPr>
        <w:pStyle w:val="Heading2"/>
      </w:pPr>
      <w:r>
        <w:t>2.3 去重、筛选与信息完整性核查</w:t>
      </w:r>
    </w:p>
    <w:p>
      <w:r>
        <w:t>两库先分别识别库内重复，再进行跨库匹配，按规范化DOI、PMID、题名结合年份与作者核查。题名近似但无一致标识者人工复核；同一试验的不同结果论文或二次分析不因研究对象重叠而直接认定为重复发表。</w:t>
      </w:r>
    </w:p>
    <w:p>
      <w:r>
        <w:t>同一文献保留一个分析记录，并记录WoS独有、PubMed独有或两库共有。合并两库互补字段，保存原始值、补全来源和修改日志。关键词优先采用作者关键词；MeSH与WoS Keywords Plus单独保存，不当作作者关键词补填。摘要提取词若用于补充分析，应单独标注，不据此把缺少作者关键词的记录改判为完整。</w:t>
      </w:r>
    </w:p>
    <w:p>
      <w:r>
        <w:t>按本次要求，核心书目字段补全后仍缺失者不进入主分析，另列剔除清单并报告数量。此标准可能偏向近期、关键词报告较完整的文献，因此另保留主题与类型合格但缺项的集合，评价年度趋势及国家分布的选择偏倚。未补全前不得将PubMed单库缺项数直接作为最终排除数。</w:t>
      </w:r>
    </w:p>
    <w:p>
      <w:r>
        <w:t>为使删除数量可复核，每条记录保留所有排除标签，并按预设优先级指定一个互斥主原因：重复→日期不符→语言不符→出版类型不符→主题/干预不符→摘要全文不可得→补全后书目信息缺失。病例报告、Editorial、Letter及无关文献分别计数；标签总数与互斥主原因总数分别报告，不相加充当总排除数。筛选者及复核方式据实际填写，不预先声称双人独立筛选。</w:t>
      </w:r>
    </w:p>
    <w:p>
      <w:pPr>
        <w:pStyle w:val="Heading2"/>
      </w:pPr>
      <w:r>
        <w:t>2.4 数据提取与规范化</w:t>
      </w:r>
    </w:p>
    <w:p>
      <w:r>
        <w:t>提取题名、DOI、PMID、WoS UT、发表日期、语言、类型、作者、作者机构、国家/地区、来源期刊、作者关键词及可用的被引参考文献。统一同义词、大小写及明确的机构名称变体，保留规范化词典；机构合并须有可核实隶属关系，作者缩写相同不自动视为同一人。</w:t>
      </w:r>
    </w:p>
    <w:p>
      <w:r>
        <w:t>国家、机构和作者发文量采用全计数法，同篇中同一主体只计一次。关键词计数为包含该词的文献篇数；合作及共现边权分别为共同署名或共同出现的篇数。所有排名表使用同一最终主分析集合，报告并列排名的处理规则。机构地址覆盖及国家识别率另行报告。</w:t>
      </w:r>
    </w:p>
    <w:p>
      <w:pPr>
        <w:pStyle w:val="Heading2"/>
      </w:pPr>
      <w:r>
        <w:t>2.5 统计与可视化分析</w:t>
      </w:r>
    </w:p>
    <w:p>
      <w:r>
        <w:t>拟主要使用CiteSpace 6.2.R6 Advanced开展网络与可视化分析。拟按用户指定的版本分配，图5使用6.2.R7，图10使用6.2.R3；最终方法须以实际运行的软件版本、工程文件及日志为准。多版本输出应核对数据集和共同参数的一致性。原稿尚无上述版本的正式运行证据，不能将本段改写为已完成操作。</w:t>
      </w:r>
    </w:p>
    <w:p>
      <w:r>
        <w:t>拟将时间切片设为1年，覆盖最终纳入文献最早年份至2026年。分别以Country、Institution、Author、Keyword构建网络；具体节点筛选方式、g-index或Top N数值、剪枝方法、词频阈值及网络规模须在实际运行后逐图记录，不套用他文设置。国家网络以地理地图叠加合作连线展示：地理位置来源单独记录，线宽表示共同发文量，节点大小表示发文量。机构、作者网络按合作关系构建，关键词网络按文献内共现关系构建。</w:t>
      </w:r>
    </w:p>
    <w:p>
      <w:r>
        <w:t>CiteSpace图谱中节点大小表示发文或关键词出现频率；共被引网络的节点大小表示被引频次。颜色含义以具体图例为准；网络空间距离受布局算法影响，不直接解释为定量关联强弱。中介中心性反映节点位于最短路径上的桥接作用，较高值节点可用紫色圆环标示[3]。连接强度与中介中心性为不同指标，不互相替代。</w:t>
      </w:r>
    </w:p>
    <w:p>
      <w:r>
        <w:t>采用模块度Q描述网络社群划分，平均轮廓系数S描述簇内一致性。Q&gt;0.3、S&gt;0.5及S&gt;0.7可分别作为模块划分和聚类一致性的经验性参考，不视为统计显著性检验；解释时同时考虑网络大小、簇规模和标签语义[4]。关键词聚类拟以LLR生成主要标签，并以LSI结果与代表文献交叉核查。标签所用文本字段（拟为题名）及具体设置须保存；不将算法自动标签直接当作已证实的临床机制。</w:t>
      </w:r>
    </w:p>
    <w:p>
      <w:r>
        <w:t>Excel用于年度发文量统计与趋势拟合，报告拟合模型、方程和R²。拟以完整年度建立线性拟合作为描述性趋势，2026年单列、不参与完整年度拟合；不以R²推断因果或预测未来产量。若采用其他模型，需说明选择依据，避免只挑R²最高的曲线。</w:t>
      </w:r>
    </w:p>
    <w:p>
      <w:r>
        <w:t>关键词时间线或时区图用于呈现主题出现与延续；突现检测报告关键词、强度、起始年、终止年、最短持续时间及算法参数。若没有达到阈值的突现词，如实报告，不强行凑足10个。“关键词突现”属于使用频次的突增，不与被引文献的“引文突现”混称。</w:t>
      </w:r>
    </w:p>
    <w:p>
      <w:r>
        <w:t>作者—关键词—来源期刊桑基图采用三字段可视化工具单独生成，工具及版本在实际运行后填写。选取频次前10位关键词，连接纳入文献对应的作者与期刊；每条边按文献计数，同篇相同配对只计一次，多作者多关键词引起的多重归属在图注说明。桑基图流量不等于独立文献总数，不预先声称由CiteSpace生成。</w:t>
      </w:r>
    </w:p>
    <w:p>
      <w:r>
        <w:t>共被引分析需完整且可比的参考文献数据。若PubMed独有文献无法补全参考文献，应以具备完整引文记录的子集开展并报告覆盖率，不将WoS子集共被引结果标为双库全样本结果。期刊排名表中的总连接强度拟定义为期刊间直接引文网络全部相邻边权之和，同刊自引另计；若无法建立覆盖充分的引文网络，该列标记不可计算并解释数据限制，不以发文量代填。</w:t>
      </w:r>
    </w:p>
    <w:p>
      <w:pPr>
        <w:pStyle w:val="Heading1"/>
      </w:pPr>
      <w:r>
        <w:t>3 结果</w:t>
      </w:r>
    </w:p>
    <w:p>
      <w:pPr>
        <w:pStyle w:val="Heading2"/>
      </w:pPr>
      <w:r>
        <w:t>3.1 文献筛选与数据覆盖</w:t>
      </w:r>
    </w:p>
    <w:p>
      <w:r>
        <w:t>WoS CC检出待核定篇，PubMed原式检出待核定篇；去除库内及跨库重复待核定篇后进入资格筛选。病例报告、社论、信函及无关文献分别排除待核定篇，其余排除类别见图1与筛选日志。跨库补全后因核心书目字段仍缺失而排除待核定篇，最终纳入待核定篇。其中WoS独有、PubMed独有和两库共有分别为待核定篇。</w:t>
      </w:r>
    </w:p>
    <w:p>
      <w:r>
        <w:t>图1 文献检索、去重与筛选流程图。分别列出两库检出、重复、各排除原因及最终纳入数；所有互斥数量须满足流程守恒。</w:t>
      </w:r>
    </w:p>
    <w:p>
      <w:pPr>
        <w:pStyle w:val="Heading2"/>
      </w:pPr>
      <w:r>
        <w:t>3.2 出版趋势</w:t>
      </w:r>
    </w:p>
    <w:p>
      <w:r>
        <w:t>图2展示各年度实际发文量，完整年份的拟合模型、方程及R²待计算。2026年仅统计至10月10日，不能据其低于上一完整年度而判断研究热度下降。</w:t>
      </w:r>
    </w:p>
    <w:p>
      <w:r>
        <w:t>图2 年度发文量与完整年度趋势拟合图（待生成）。</w:t>
      </w:r>
    </w:p>
    <w:p>
      <w:pPr>
        <w:pStyle w:val="Heading2"/>
      </w:pPr>
      <w:r>
        <w:t>3.3 国家合作网络</w:t>
      </w:r>
    </w:p>
    <w:p>
      <w:r>
        <w:t>报告参与国家/地区总数、网络节点及连线数、主要国际合作关系；结合表1比较发文量与中介中心性，避免将高产等同于桥接作用。</w:t>
      </w:r>
    </w:p>
    <w:p>
      <w:r>
        <w:t>图3 国家/地区地图及合作连线（待生成）。</w:t>
      </w:r>
    </w:p>
    <w:p>
      <w:pPr>
        <w:keepNext/>
      </w:pPr>
      <w:r>
        <w:t>表1 发文量前10位国家/地区（待双库重算）</w:t>
      </w:r>
    </w:p>
    <w:tbl>
      <w:tblPr>
        <w:tblW w:type="dxa" w:w="9360"/>
        <w:jc w:val="left"/>
        <w:tblLayout w:type="fixed"/>
        <w:tblLook w:firstColumn="1" w:firstRow="1" w:lastColumn="0" w:lastRow="0" w:noHBand="0" w:noVBand="1" w:val="04A0"/>
        <w:tblInd w:type="dxa" w:w="120"/>
      </w:tblPr>
      <w:tblGrid>
        <w:gridCol w:w="2340"/>
        <w:gridCol w:w="2340"/>
        <w:gridCol w:w="2340"/>
        <w:gridCol w:w="2340"/>
      </w:tblGrid>
      <w:tr>
        <w:trPr>
          <w:tblHeader/>
        </w:trPr>
        <w:tc>
          <w:tcPr>
            <w:tcW w:type="dxa" w:w="2340"/>
            <w:tcMar>
              <w:top w:w="80" w:type="dxa"/>
              <w:bottom w:w="80" w:type="dxa"/>
              <w:start w:w="120" w:type="dxa"/>
              <w:end w:w="120" w:type="dxa"/>
            </w:tcMar>
          </w:tcPr>
          <w:p>
            <w:pPr>
              <w:spacing w:after="60"/>
            </w:pPr>
            <w:r>
              <w:rPr>
                <w:b/>
                <w:sz w:val="20"/>
              </w:rPr>
              <w:t>序号</w:t>
            </w:r>
          </w:p>
        </w:tc>
        <w:tc>
          <w:tcPr>
            <w:tcW w:type="dxa" w:w="2340"/>
            <w:tcMar>
              <w:top w:w="80" w:type="dxa"/>
              <w:bottom w:w="80" w:type="dxa"/>
              <w:start w:w="120" w:type="dxa"/>
              <w:end w:w="120" w:type="dxa"/>
            </w:tcMar>
          </w:tcPr>
          <w:p>
            <w:pPr>
              <w:spacing w:after="60"/>
            </w:pPr>
            <w:r>
              <w:rPr>
                <w:b/>
                <w:sz w:val="20"/>
              </w:rPr>
              <w:t>国家/地区</w:t>
            </w:r>
          </w:p>
        </w:tc>
        <w:tc>
          <w:tcPr>
            <w:tcW w:type="dxa" w:w="2340"/>
            <w:tcMar>
              <w:top w:w="80" w:type="dxa"/>
              <w:bottom w:w="80" w:type="dxa"/>
              <w:start w:w="120" w:type="dxa"/>
              <w:end w:w="120" w:type="dxa"/>
            </w:tcMar>
          </w:tcPr>
          <w:p>
            <w:pPr>
              <w:spacing w:after="60"/>
            </w:pPr>
            <w:r>
              <w:rPr>
                <w:b/>
                <w:sz w:val="20"/>
              </w:rPr>
              <w:t>发文量</w:t>
            </w:r>
          </w:p>
        </w:tc>
        <w:tc>
          <w:tcPr>
            <w:tcW w:type="dxa" w:w="2340"/>
            <w:tcMar>
              <w:top w:w="80" w:type="dxa"/>
              <w:bottom w:w="80" w:type="dxa"/>
              <w:start w:w="120" w:type="dxa"/>
              <w:end w:w="120" w:type="dxa"/>
            </w:tcMar>
          </w:tcPr>
          <w:p>
            <w:pPr>
              <w:spacing w:after="60"/>
            </w:pPr>
            <w:r>
              <w:rPr>
                <w:b/>
                <w:sz w:val="20"/>
              </w:rPr>
              <w:t>中介中心性</w:t>
            </w:r>
          </w:p>
        </w:tc>
      </w:tr>
      <w:tr>
        <w:trPr/>
        <w:tc>
          <w:tcPr>
            <w:tcW w:type="dxa" w:w="2340"/>
            <w:tcMar>
              <w:top w:w="80" w:type="dxa"/>
              <w:bottom w:w="80" w:type="dxa"/>
              <w:start w:w="120" w:type="dxa"/>
              <w:end w:w="120" w:type="dxa"/>
            </w:tcMar>
          </w:tcPr>
          <w:p>
            <w:pPr>
              <w:spacing w:after="60"/>
            </w:pPr>
            <w:r>
              <w:rPr>
                <w:b w:val="0"/>
                <w:sz w:val="20"/>
              </w:rPr>
              <w:t>1—10</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w:t>
            </w:r>
          </w:p>
        </w:tc>
      </w:tr>
    </w:tbl>
    <w:p>
      <w:pPr>
        <w:pStyle w:val="Heading2"/>
      </w:pPr>
      <w:r>
        <w:t>3.4 机构合作网络</w:t>
      </w:r>
    </w:p>
    <w:p>
      <w:r>
        <w:t>报告高产机构及跨机构联系，说明大学、附属医院等名称合并边界。机构中心性取自同一最终网络。</w:t>
      </w:r>
    </w:p>
    <w:p>
      <w:r>
        <w:t>图4 机构合作网络（待生成）。</w:t>
      </w:r>
    </w:p>
    <w:p>
      <w:pPr>
        <w:keepNext/>
      </w:pPr>
      <w:r>
        <w:t>表2 发文量前10位机构（待双库重算）</w:t>
      </w:r>
    </w:p>
    <w:tbl>
      <w:tblPr>
        <w:tblW w:type="dxa" w:w="9360"/>
        <w:jc w:val="left"/>
        <w:tblLayout w:type="fixed"/>
        <w:tblLook w:firstColumn="1" w:firstRow="1" w:lastColumn="0" w:lastRow="0" w:noHBand="0" w:noVBand="1" w:val="04A0"/>
        <w:tblInd w:type="dxa" w:w="120"/>
      </w:tblPr>
      <w:tblGrid>
        <w:gridCol w:w="2340"/>
        <w:gridCol w:w="2340"/>
        <w:gridCol w:w="2340"/>
        <w:gridCol w:w="2340"/>
      </w:tblGrid>
      <w:tr>
        <w:trPr>
          <w:tblHeader/>
        </w:trPr>
        <w:tc>
          <w:tcPr>
            <w:tcW w:type="dxa" w:w="2340"/>
            <w:tcMar>
              <w:top w:w="80" w:type="dxa"/>
              <w:bottom w:w="80" w:type="dxa"/>
              <w:start w:w="120" w:type="dxa"/>
              <w:end w:w="120" w:type="dxa"/>
            </w:tcMar>
          </w:tcPr>
          <w:p>
            <w:pPr>
              <w:spacing w:after="60"/>
            </w:pPr>
            <w:r>
              <w:rPr>
                <w:b/>
                <w:sz w:val="20"/>
              </w:rPr>
              <w:t>序号</w:t>
            </w:r>
          </w:p>
        </w:tc>
        <w:tc>
          <w:tcPr>
            <w:tcW w:type="dxa" w:w="2340"/>
            <w:tcMar>
              <w:top w:w="80" w:type="dxa"/>
              <w:bottom w:w="80" w:type="dxa"/>
              <w:start w:w="120" w:type="dxa"/>
              <w:end w:w="120" w:type="dxa"/>
            </w:tcMar>
          </w:tcPr>
          <w:p>
            <w:pPr>
              <w:spacing w:after="60"/>
            </w:pPr>
            <w:r>
              <w:rPr>
                <w:b/>
                <w:sz w:val="20"/>
              </w:rPr>
              <w:t>机构</w:t>
            </w:r>
          </w:p>
        </w:tc>
        <w:tc>
          <w:tcPr>
            <w:tcW w:type="dxa" w:w="2340"/>
            <w:tcMar>
              <w:top w:w="80" w:type="dxa"/>
              <w:bottom w:w="80" w:type="dxa"/>
              <w:start w:w="120" w:type="dxa"/>
              <w:end w:w="120" w:type="dxa"/>
            </w:tcMar>
          </w:tcPr>
          <w:p>
            <w:pPr>
              <w:spacing w:after="60"/>
            </w:pPr>
            <w:r>
              <w:rPr>
                <w:b/>
                <w:sz w:val="20"/>
              </w:rPr>
              <w:t>发文量</w:t>
            </w:r>
          </w:p>
        </w:tc>
        <w:tc>
          <w:tcPr>
            <w:tcW w:type="dxa" w:w="2340"/>
            <w:tcMar>
              <w:top w:w="80" w:type="dxa"/>
              <w:bottom w:w="80" w:type="dxa"/>
              <w:start w:w="120" w:type="dxa"/>
              <w:end w:w="120" w:type="dxa"/>
            </w:tcMar>
          </w:tcPr>
          <w:p>
            <w:pPr>
              <w:spacing w:after="60"/>
            </w:pPr>
            <w:r>
              <w:rPr>
                <w:b/>
                <w:sz w:val="20"/>
              </w:rPr>
              <w:t>中介中心性</w:t>
            </w:r>
          </w:p>
        </w:tc>
      </w:tr>
      <w:tr>
        <w:trPr/>
        <w:tc>
          <w:tcPr>
            <w:tcW w:type="dxa" w:w="2340"/>
            <w:tcMar>
              <w:top w:w="80" w:type="dxa"/>
              <w:bottom w:w="80" w:type="dxa"/>
              <w:start w:w="120" w:type="dxa"/>
              <w:end w:w="120" w:type="dxa"/>
            </w:tcMar>
          </w:tcPr>
          <w:p>
            <w:pPr>
              <w:spacing w:after="60"/>
            </w:pPr>
            <w:r>
              <w:rPr>
                <w:b w:val="0"/>
                <w:sz w:val="20"/>
              </w:rPr>
              <w:t>1—10</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w:t>
            </w:r>
          </w:p>
        </w:tc>
      </w:tr>
    </w:tbl>
    <w:p>
      <w:pPr>
        <w:pStyle w:val="Heading2"/>
      </w:pPr>
      <w:r>
        <w:t>3.5 作者合作网络</w:t>
      </w:r>
    </w:p>
    <w:p>
      <w:r>
        <w:t>结合发文量与桥接作用描述主要作者团队，报告同名消歧规则和无法确认的身份问题。</w:t>
      </w:r>
    </w:p>
    <w:p>
      <w:r>
        <w:t>图5 作者合作网络（拟使用6.2.R7；待生成）。</w:t>
      </w:r>
    </w:p>
    <w:p>
      <w:pPr>
        <w:keepNext/>
      </w:pPr>
      <w:r>
        <w:t>表3 发文量前10位作者（待双库重算）</w:t>
      </w:r>
    </w:p>
    <w:tbl>
      <w:tblPr>
        <w:tblW w:type="dxa" w:w="9360"/>
        <w:jc w:val="left"/>
        <w:tblLayout w:type="fixed"/>
        <w:tblLook w:firstColumn="1" w:firstRow="1" w:lastColumn="0" w:lastRow="0" w:noHBand="0" w:noVBand="1" w:val="04A0"/>
        <w:tblInd w:type="dxa" w:w="120"/>
      </w:tblPr>
      <w:tblGrid>
        <w:gridCol w:w="2340"/>
        <w:gridCol w:w="2340"/>
        <w:gridCol w:w="2340"/>
        <w:gridCol w:w="2340"/>
      </w:tblGrid>
      <w:tr>
        <w:trPr>
          <w:tblHeader/>
        </w:trPr>
        <w:tc>
          <w:tcPr>
            <w:tcW w:type="dxa" w:w="2340"/>
            <w:tcMar>
              <w:top w:w="80" w:type="dxa"/>
              <w:bottom w:w="80" w:type="dxa"/>
              <w:start w:w="120" w:type="dxa"/>
              <w:end w:w="120" w:type="dxa"/>
            </w:tcMar>
          </w:tcPr>
          <w:p>
            <w:pPr>
              <w:spacing w:after="60"/>
            </w:pPr>
            <w:r>
              <w:rPr>
                <w:b/>
                <w:sz w:val="20"/>
              </w:rPr>
              <w:t>序号</w:t>
            </w:r>
          </w:p>
        </w:tc>
        <w:tc>
          <w:tcPr>
            <w:tcW w:type="dxa" w:w="2340"/>
            <w:tcMar>
              <w:top w:w="80" w:type="dxa"/>
              <w:bottom w:w="80" w:type="dxa"/>
              <w:start w:w="120" w:type="dxa"/>
              <w:end w:w="120" w:type="dxa"/>
            </w:tcMar>
          </w:tcPr>
          <w:p>
            <w:pPr>
              <w:spacing w:after="60"/>
            </w:pPr>
            <w:r>
              <w:rPr>
                <w:b/>
                <w:sz w:val="20"/>
              </w:rPr>
              <w:t>作者</w:t>
            </w:r>
          </w:p>
        </w:tc>
        <w:tc>
          <w:tcPr>
            <w:tcW w:type="dxa" w:w="2340"/>
            <w:tcMar>
              <w:top w:w="80" w:type="dxa"/>
              <w:bottom w:w="80" w:type="dxa"/>
              <w:start w:w="120" w:type="dxa"/>
              <w:end w:w="120" w:type="dxa"/>
            </w:tcMar>
          </w:tcPr>
          <w:p>
            <w:pPr>
              <w:spacing w:after="60"/>
            </w:pPr>
            <w:r>
              <w:rPr>
                <w:b/>
                <w:sz w:val="20"/>
              </w:rPr>
              <w:t>发文量</w:t>
            </w:r>
          </w:p>
        </w:tc>
        <w:tc>
          <w:tcPr>
            <w:tcW w:type="dxa" w:w="2340"/>
            <w:tcMar>
              <w:top w:w="80" w:type="dxa"/>
              <w:bottom w:w="80" w:type="dxa"/>
              <w:start w:w="120" w:type="dxa"/>
              <w:end w:w="120" w:type="dxa"/>
            </w:tcMar>
          </w:tcPr>
          <w:p>
            <w:pPr>
              <w:spacing w:after="60"/>
            </w:pPr>
            <w:r>
              <w:rPr>
                <w:b/>
                <w:sz w:val="20"/>
              </w:rPr>
              <w:t>中介中心性</w:t>
            </w:r>
          </w:p>
        </w:tc>
      </w:tr>
      <w:tr>
        <w:trPr/>
        <w:tc>
          <w:tcPr>
            <w:tcW w:type="dxa" w:w="2340"/>
            <w:tcMar>
              <w:top w:w="80" w:type="dxa"/>
              <w:bottom w:w="80" w:type="dxa"/>
              <w:start w:w="120" w:type="dxa"/>
              <w:end w:w="120" w:type="dxa"/>
            </w:tcMar>
          </w:tcPr>
          <w:p>
            <w:pPr>
              <w:spacing w:after="60"/>
            </w:pPr>
            <w:r>
              <w:rPr>
                <w:b w:val="0"/>
                <w:sz w:val="20"/>
              </w:rPr>
              <w:t>1—10</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w:t>
            </w:r>
          </w:p>
        </w:tc>
      </w:tr>
    </w:tbl>
    <w:p>
      <w:pPr>
        <w:pStyle w:val="Heading2"/>
      </w:pPr>
      <w:r>
        <w:t>3.6 来源期刊</w:t>
      </w:r>
    </w:p>
    <w:p>
      <w:r>
        <w:t>报告来源期刊总数、前10位期刊的发文集中程度。期刊总连接强度仅在引文数据完整性允许且定义一致时报告。</w:t>
      </w:r>
    </w:p>
    <w:p>
      <w:pPr>
        <w:keepNext/>
      </w:pPr>
      <w:r>
        <w:t>表4 发文量前10位来源期刊（待双库重算）</w:t>
      </w:r>
    </w:p>
    <w:tbl>
      <w:tblPr>
        <w:tblW w:type="dxa" w:w="9360"/>
        <w:jc w:val="left"/>
        <w:tblLayout w:type="fixed"/>
        <w:tblLook w:firstColumn="1" w:firstRow="1" w:lastColumn="0" w:lastRow="0" w:noHBand="0" w:noVBand="1" w:val="04A0"/>
        <w:tblInd w:type="dxa" w:w="120"/>
      </w:tblPr>
      <w:tblGrid>
        <w:gridCol w:w="2340"/>
        <w:gridCol w:w="2340"/>
        <w:gridCol w:w="2340"/>
        <w:gridCol w:w="2340"/>
      </w:tblGrid>
      <w:tr>
        <w:trPr>
          <w:tblHeader/>
        </w:trPr>
        <w:tc>
          <w:tcPr>
            <w:tcW w:type="dxa" w:w="2340"/>
            <w:tcMar>
              <w:top w:w="80" w:type="dxa"/>
              <w:bottom w:w="80" w:type="dxa"/>
              <w:start w:w="120" w:type="dxa"/>
              <w:end w:w="120" w:type="dxa"/>
            </w:tcMar>
          </w:tcPr>
          <w:p>
            <w:pPr>
              <w:spacing w:after="60"/>
            </w:pPr>
            <w:r>
              <w:rPr>
                <w:b/>
                <w:sz w:val="20"/>
              </w:rPr>
              <w:t>序号</w:t>
            </w:r>
          </w:p>
        </w:tc>
        <w:tc>
          <w:tcPr>
            <w:tcW w:type="dxa" w:w="2340"/>
            <w:tcMar>
              <w:top w:w="80" w:type="dxa"/>
              <w:bottom w:w="80" w:type="dxa"/>
              <w:start w:w="120" w:type="dxa"/>
              <w:end w:w="120" w:type="dxa"/>
            </w:tcMar>
          </w:tcPr>
          <w:p>
            <w:pPr>
              <w:spacing w:after="60"/>
            </w:pPr>
            <w:r>
              <w:rPr>
                <w:b/>
                <w:sz w:val="20"/>
              </w:rPr>
              <w:t>期刊</w:t>
            </w:r>
          </w:p>
        </w:tc>
        <w:tc>
          <w:tcPr>
            <w:tcW w:type="dxa" w:w="2340"/>
            <w:tcMar>
              <w:top w:w="80" w:type="dxa"/>
              <w:bottom w:w="80" w:type="dxa"/>
              <w:start w:w="120" w:type="dxa"/>
              <w:end w:w="120" w:type="dxa"/>
            </w:tcMar>
          </w:tcPr>
          <w:p>
            <w:pPr>
              <w:spacing w:after="60"/>
            </w:pPr>
            <w:r>
              <w:rPr>
                <w:b/>
                <w:sz w:val="20"/>
              </w:rPr>
              <w:t>发文量</w:t>
            </w:r>
          </w:p>
        </w:tc>
        <w:tc>
          <w:tcPr>
            <w:tcW w:type="dxa" w:w="2340"/>
            <w:tcMar>
              <w:top w:w="80" w:type="dxa"/>
              <w:bottom w:w="80" w:type="dxa"/>
              <w:start w:w="120" w:type="dxa"/>
              <w:end w:w="120" w:type="dxa"/>
            </w:tcMar>
          </w:tcPr>
          <w:p>
            <w:pPr>
              <w:spacing w:after="60"/>
            </w:pPr>
            <w:r>
              <w:rPr>
                <w:b/>
                <w:sz w:val="20"/>
              </w:rPr>
              <w:t>总连接强度</w:t>
            </w:r>
          </w:p>
        </w:tc>
      </w:tr>
      <w:tr>
        <w:trPr/>
        <w:tc>
          <w:tcPr>
            <w:tcW w:type="dxa" w:w="2340"/>
            <w:tcMar>
              <w:top w:w="80" w:type="dxa"/>
              <w:bottom w:w="80" w:type="dxa"/>
              <w:start w:w="120" w:type="dxa"/>
              <w:end w:w="120" w:type="dxa"/>
            </w:tcMar>
          </w:tcPr>
          <w:p>
            <w:pPr>
              <w:spacing w:after="60"/>
            </w:pPr>
            <w:r>
              <w:rPr>
                <w:b w:val="0"/>
                <w:sz w:val="20"/>
              </w:rPr>
              <w:t>1—10</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待核定/不可计算</w:t>
            </w:r>
          </w:p>
        </w:tc>
      </w:tr>
    </w:tbl>
    <w:p>
      <w:pPr>
        <w:pStyle w:val="Heading2"/>
      </w:pPr>
      <w:r>
        <w:t>3.7 关键词共现</w:t>
      </w:r>
    </w:p>
    <w:p>
      <w:r>
        <w:t>报告可用作者关键词的覆盖率、规范化词数和共现网络规模。高频关键词结合疾病与干预类型解释，避免将研究设计词直接视为临床主题。</w:t>
      </w:r>
    </w:p>
    <w:p>
      <w:r>
        <w:t>图6 关键词共现网络（待生成）。</w:t>
      </w:r>
    </w:p>
    <w:p>
      <w:pPr>
        <w:keepNext/>
      </w:pPr>
      <w:r>
        <w:t>表5 前10位关键词（待双库重算）</w:t>
      </w:r>
    </w:p>
    <w:tbl>
      <w:tblPr>
        <w:tblW w:type="dxa" w:w="9360"/>
        <w:jc w:val="left"/>
        <w:tblLayout w:type="fixed"/>
        <w:tblLook w:firstColumn="1" w:firstRow="1" w:lastColumn="0" w:lastRow="0" w:noHBand="0" w:noVBand="1" w:val="04A0"/>
        <w:tblInd w:type="dxa" w:w="120"/>
      </w:tblPr>
      <w:tblGrid>
        <w:gridCol w:w="2340"/>
        <w:gridCol w:w="2340"/>
        <w:gridCol w:w="2340"/>
        <w:gridCol w:w="2340"/>
      </w:tblGrid>
      <w:tr>
        <w:trPr>
          <w:tblHeader/>
        </w:trPr>
        <w:tc>
          <w:tcPr>
            <w:tcW w:type="dxa" w:w="2340"/>
            <w:tcMar>
              <w:top w:w="80" w:type="dxa"/>
              <w:bottom w:w="80" w:type="dxa"/>
              <w:start w:w="120" w:type="dxa"/>
              <w:end w:w="120" w:type="dxa"/>
            </w:tcMar>
          </w:tcPr>
          <w:p>
            <w:pPr>
              <w:spacing w:after="60"/>
            </w:pPr>
            <w:r>
              <w:rPr>
                <w:b/>
                <w:sz w:val="20"/>
              </w:rPr>
              <w:t>序号</w:t>
            </w:r>
          </w:p>
        </w:tc>
        <w:tc>
          <w:tcPr>
            <w:tcW w:type="dxa" w:w="2340"/>
            <w:tcMar>
              <w:top w:w="80" w:type="dxa"/>
              <w:bottom w:w="80" w:type="dxa"/>
              <w:start w:w="120" w:type="dxa"/>
              <w:end w:w="120" w:type="dxa"/>
            </w:tcMar>
          </w:tcPr>
          <w:p>
            <w:pPr>
              <w:spacing w:after="60"/>
            </w:pPr>
            <w:r>
              <w:rPr>
                <w:b/>
                <w:sz w:val="20"/>
              </w:rPr>
              <w:t>关键词</w:t>
            </w:r>
          </w:p>
        </w:tc>
        <w:tc>
          <w:tcPr>
            <w:tcW w:type="dxa" w:w="2340"/>
            <w:tcMar>
              <w:top w:w="80" w:type="dxa"/>
              <w:bottom w:w="80" w:type="dxa"/>
              <w:start w:w="120" w:type="dxa"/>
              <w:end w:w="120" w:type="dxa"/>
            </w:tcMar>
          </w:tcPr>
          <w:p>
            <w:pPr>
              <w:spacing w:after="60"/>
            </w:pPr>
            <w:r>
              <w:rPr>
                <w:b/>
                <w:sz w:val="20"/>
              </w:rPr>
              <w:t>计数</w:t>
            </w:r>
          </w:p>
        </w:tc>
        <w:tc>
          <w:tcPr>
            <w:tcW w:type="dxa" w:w="2340"/>
            <w:tcMar>
              <w:top w:w="80" w:type="dxa"/>
              <w:bottom w:w="80" w:type="dxa"/>
              <w:start w:w="120" w:type="dxa"/>
              <w:end w:w="120" w:type="dxa"/>
            </w:tcMar>
          </w:tcPr>
          <w:p>
            <w:pPr>
              <w:spacing w:after="60"/>
            </w:pPr>
            <w:r>
              <w:rPr>
                <w:b/>
                <w:sz w:val="20"/>
              </w:rPr>
              <w:t>中介中心性</w:t>
            </w:r>
          </w:p>
        </w:tc>
      </w:tr>
      <w:tr>
        <w:trPr/>
        <w:tc>
          <w:tcPr>
            <w:tcW w:type="dxa" w:w="2340"/>
            <w:tcMar>
              <w:top w:w="80" w:type="dxa"/>
              <w:bottom w:w="80" w:type="dxa"/>
              <w:start w:w="120" w:type="dxa"/>
              <w:end w:w="120" w:type="dxa"/>
            </w:tcMar>
          </w:tcPr>
          <w:p>
            <w:pPr>
              <w:spacing w:after="60"/>
            </w:pPr>
            <w:r>
              <w:rPr>
                <w:b w:val="0"/>
                <w:sz w:val="20"/>
              </w:rPr>
              <w:t>1—10</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w:t>
            </w:r>
          </w:p>
        </w:tc>
        <w:tc>
          <w:tcPr>
            <w:tcW w:type="dxa" w:w="2340"/>
            <w:tcMar>
              <w:top w:w="80" w:type="dxa"/>
              <w:bottom w:w="80" w:type="dxa"/>
              <w:start w:w="120" w:type="dxa"/>
              <w:end w:w="120" w:type="dxa"/>
            </w:tcMar>
          </w:tcPr>
          <w:p>
            <w:pPr>
              <w:spacing w:after="60"/>
            </w:pPr>
            <w:r>
              <w:rPr>
                <w:b w:val="0"/>
                <w:sz w:val="20"/>
              </w:rPr>
              <w:t>待核定</w:t>
            </w:r>
          </w:p>
        </w:tc>
      </w:tr>
    </w:tbl>
    <w:p>
      <w:pPr>
        <w:pStyle w:val="Heading2"/>
      </w:pPr>
      <w:r>
        <w:t>3.8 关键词时间演变</w:t>
      </w:r>
    </w:p>
    <w:p>
      <w:r>
        <w:t>依据实际时间线或时区图，描述关键词的首次出现、延续和主题联系；年代较早的关键词缺失可能影响时间解释。</w:t>
      </w:r>
    </w:p>
    <w:p>
      <w:r>
        <w:t>图7 关键词时间演变图（待生成）。</w:t>
      </w:r>
    </w:p>
    <w:p>
      <w:pPr>
        <w:pStyle w:val="Heading2"/>
      </w:pPr>
      <w:r>
        <w:t>3.9 关键词聚类</w:t>
      </w:r>
    </w:p>
    <w:p>
      <w:r>
        <w:t>报告整体模块度Q、平均轮廓系数S及主要聚类规模，结合代表文献解释LLR标签；聚类编号按软件实际输出记录。</w:t>
      </w:r>
    </w:p>
    <w:p>
      <w:r>
        <w:t>图8 关键词聚类图（待生成）。</w:t>
      </w:r>
    </w:p>
    <w:p>
      <w:pPr>
        <w:keepNext/>
      </w:pPr>
      <w:r>
        <w:t>表6 关键词聚类特征（待正式运行后按全部展示聚类逐行填写）</w:t>
      </w:r>
    </w:p>
    <w:tbl>
      <w:tblPr>
        <w:tblW w:type="dxa" w:w="9360"/>
        <w:jc w:val="left"/>
        <w:tblLayout w:type="fixed"/>
        <w:tblLook w:firstColumn="1" w:firstRow="1" w:lastColumn="0" w:lastRow="0" w:noHBand="0" w:noVBand="1" w:val="04A0"/>
        <w:tblInd w:type="dxa" w:w="120"/>
      </w:tblPr>
      <w:tblGrid>
        <w:gridCol w:w="1560"/>
        <w:gridCol w:w="1560"/>
        <w:gridCol w:w="1560"/>
        <w:gridCol w:w="1560"/>
        <w:gridCol w:w="1560"/>
        <w:gridCol w:w="1560"/>
      </w:tblGrid>
      <w:tr>
        <w:trPr>
          <w:tblHeader/>
        </w:trPr>
        <w:tc>
          <w:tcPr>
            <w:tcW w:type="dxa" w:w="1560"/>
            <w:tcMar>
              <w:top w:w="80" w:type="dxa"/>
              <w:bottom w:w="80" w:type="dxa"/>
              <w:start w:w="120" w:type="dxa"/>
              <w:end w:w="120" w:type="dxa"/>
            </w:tcMar>
          </w:tcPr>
          <w:p>
            <w:pPr>
              <w:spacing w:after="60"/>
            </w:pPr>
            <w:r>
              <w:rPr>
                <w:b/>
                <w:sz w:val="20"/>
              </w:rPr>
              <w:t>聚类编号</w:t>
            </w:r>
          </w:p>
        </w:tc>
        <w:tc>
          <w:tcPr>
            <w:tcW w:type="dxa" w:w="1560"/>
            <w:tcMar>
              <w:top w:w="80" w:type="dxa"/>
              <w:bottom w:w="80" w:type="dxa"/>
              <w:start w:w="120" w:type="dxa"/>
              <w:end w:w="120" w:type="dxa"/>
            </w:tcMar>
          </w:tcPr>
          <w:p>
            <w:pPr>
              <w:spacing w:after="60"/>
            </w:pPr>
            <w:r>
              <w:rPr>
                <w:b/>
                <w:sz w:val="20"/>
              </w:rPr>
              <w:t>节点数</w:t>
            </w:r>
          </w:p>
        </w:tc>
        <w:tc>
          <w:tcPr>
            <w:tcW w:type="dxa" w:w="1560"/>
            <w:tcMar>
              <w:top w:w="80" w:type="dxa"/>
              <w:bottom w:w="80" w:type="dxa"/>
              <w:start w:w="120" w:type="dxa"/>
              <w:end w:w="120" w:type="dxa"/>
            </w:tcMar>
          </w:tcPr>
          <w:p>
            <w:pPr>
              <w:spacing w:after="60"/>
            </w:pPr>
            <w:r>
              <w:rPr>
                <w:b/>
                <w:sz w:val="20"/>
              </w:rPr>
              <w:t>轮廓系数</w:t>
            </w:r>
          </w:p>
        </w:tc>
        <w:tc>
          <w:tcPr>
            <w:tcW w:type="dxa" w:w="1560"/>
            <w:tcMar>
              <w:top w:w="80" w:type="dxa"/>
              <w:bottom w:w="80" w:type="dxa"/>
              <w:start w:w="120" w:type="dxa"/>
              <w:end w:w="120" w:type="dxa"/>
            </w:tcMar>
          </w:tcPr>
          <w:p>
            <w:pPr>
              <w:spacing w:after="60"/>
            </w:pPr>
            <w:r>
              <w:rPr>
                <w:b/>
                <w:sz w:val="20"/>
              </w:rPr>
              <w:t>平均年份</w:t>
            </w:r>
          </w:p>
        </w:tc>
        <w:tc>
          <w:tcPr>
            <w:tcW w:type="dxa" w:w="1560"/>
            <w:tcMar>
              <w:top w:w="80" w:type="dxa"/>
              <w:bottom w:w="80" w:type="dxa"/>
              <w:start w:w="120" w:type="dxa"/>
              <w:end w:w="120" w:type="dxa"/>
            </w:tcMar>
          </w:tcPr>
          <w:p>
            <w:pPr>
              <w:spacing w:after="60"/>
            </w:pPr>
            <w:r>
              <w:rPr>
                <w:b/>
                <w:sz w:val="20"/>
              </w:rPr>
              <w:t>LLR标签</w:t>
            </w:r>
          </w:p>
        </w:tc>
        <w:tc>
          <w:tcPr>
            <w:tcW w:type="dxa" w:w="1560"/>
            <w:tcMar>
              <w:top w:w="80" w:type="dxa"/>
              <w:bottom w:w="80" w:type="dxa"/>
              <w:start w:w="120" w:type="dxa"/>
              <w:end w:w="120" w:type="dxa"/>
            </w:tcMar>
          </w:tcPr>
          <w:p>
            <w:pPr>
              <w:spacing w:after="60"/>
            </w:pPr>
            <w:r>
              <w:rPr>
                <w:b/>
                <w:sz w:val="20"/>
              </w:rPr>
              <w:t>代表关键词</w:t>
            </w:r>
          </w:p>
        </w:tc>
      </w:tr>
      <w:tr>
        <w:trPr/>
        <w:tc>
          <w:tcPr>
            <w:tcW w:type="dxa" w:w="1560"/>
            <w:tcMar>
              <w:top w:w="80" w:type="dxa"/>
              <w:bottom w:w="80" w:type="dxa"/>
              <w:start w:w="120" w:type="dxa"/>
              <w:end w:w="120" w:type="dxa"/>
            </w:tcMar>
          </w:tcPr>
          <w:p>
            <w:pPr>
              <w:spacing w:after="60"/>
            </w:pPr>
            <w:r>
              <w:rPr>
                <w:b w:val="0"/>
                <w:sz w:val="20"/>
              </w:rPr>
              <w:t>待核定</w:t>
            </w:r>
          </w:p>
        </w:tc>
        <w:tc>
          <w:tcPr>
            <w:tcW w:type="dxa" w:w="1560"/>
            <w:tcMar>
              <w:top w:w="80" w:type="dxa"/>
              <w:bottom w:w="80" w:type="dxa"/>
              <w:start w:w="120" w:type="dxa"/>
              <w:end w:w="120" w:type="dxa"/>
            </w:tcMar>
          </w:tcPr>
          <w:p>
            <w:pPr>
              <w:spacing w:after="60"/>
            </w:pPr>
            <w:r>
              <w:rPr>
                <w:b w:val="0"/>
                <w:sz w:val="20"/>
              </w:rPr>
              <w:t>待核定</w:t>
            </w:r>
          </w:p>
        </w:tc>
        <w:tc>
          <w:tcPr>
            <w:tcW w:type="dxa" w:w="1560"/>
            <w:tcMar>
              <w:top w:w="80" w:type="dxa"/>
              <w:bottom w:w="80" w:type="dxa"/>
              <w:start w:w="120" w:type="dxa"/>
              <w:end w:w="120" w:type="dxa"/>
            </w:tcMar>
          </w:tcPr>
          <w:p>
            <w:pPr>
              <w:spacing w:after="60"/>
            </w:pPr>
            <w:r>
              <w:rPr>
                <w:b w:val="0"/>
                <w:sz w:val="20"/>
              </w:rPr>
              <w:t>待核定</w:t>
            </w:r>
          </w:p>
        </w:tc>
        <w:tc>
          <w:tcPr>
            <w:tcW w:type="dxa" w:w="1560"/>
            <w:tcMar>
              <w:top w:w="80" w:type="dxa"/>
              <w:bottom w:w="80" w:type="dxa"/>
              <w:start w:w="120" w:type="dxa"/>
              <w:end w:w="120" w:type="dxa"/>
            </w:tcMar>
          </w:tcPr>
          <w:p>
            <w:pPr>
              <w:spacing w:after="60"/>
            </w:pPr>
            <w:r>
              <w:rPr>
                <w:b w:val="0"/>
                <w:sz w:val="20"/>
              </w:rPr>
              <w:t>待核定</w:t>
            </w:r>
          </w:p>
        </w:tc>
        <w:tc>
          <w:tcPr>
            <w:tcW w:type="dxa" w:w="1560"/>
            <w:tcMar>
              <w:top w:w="80" w:type="dxa"/>
              <w:bottom w:w="80" w:type="dxa"/>
              <w:start w:w="120" w:type="dxa"/>
              <w:end w:w="120" w:type="dxa"/>
            </w:tcMar>
          </w:tcPr>
          <w:p>
            <w:pPr>
              <w:spacing w:after="60"/>
            </w:pPr>
            <w:r>
              <w:rPr>
                <w:b w:val="0"/>
                <w:sz w:val="20"/>
              </w:rPr>
              <w:t>待核定</w:t>
            </w:r>
          </w:p>
        </w:tc>
        <w:tc>
          <w:tcPr>
            <w:tcW w:type="dxa" w:w="1560"/>
            <w:tcMar>
              <w:top w:w="80" w:type="dxa"/>
              <w:bottom w:w="80" w:type="dxa"/>
              <w:start w:w="120" w:type="dxa"/>
              <w:end w:w="120" w:type="dxa"/>
            </w:tcMar>
          </w:tcPr>
          <w:p>
            <w:pPr>
              <w:spacing w:after="60"/>
            </w:pPr>
            <w:r>
              <w:rPr>
                <w:b w:val="0"/>
                <w:sz w:val="20"/>
              </w:rPr>
              <w:t>待核定</w:t>
            </w:r>
          </w:p>
        </w:tc>
      </w:tr>
    </w:tbl>
    <w:p>
      <w:pPr>
        <w:pStyle w:val="Heading2"/>
      </w:pPr>
      <w:r>
        <w:t>3.10 作者—关键词—来源期刊联系</w:t>
      </w:r>
    </w:p>
    <w:p>
      <w:r>
        <w:t>围绕前10位关键词展示其与作者团队和来源期刊的联系，结合真实边权解释哪些团队与期刊集中涉及某类主题。</w:t>
      </w:r>
    </w:p>
    <w:p>
      <w:r>
        <w:t>图9 前10位关键词的作者—关键词—来源期刊桑基图（待生成）。</w:t>
      </w:r>
    </w:p>
    <w:p>
      <w:pPr>
        <w:pStyle w:val="Heading2"/>
      </w:pPr>
      <w:r>
        <w:t>3.11 关键词突现</w:t>
      </w:r>
    </w:p>
    <w:p>
      <w:r>
        <w:t>报告检测到的突现词及持续时间，重点讨论截至2026年仍在突现的词，同时说明不完整年度可能影响强度。无合格突现结果时据实说明。</w:t>
      </w:r>
    </w:p>
    <w:p>
      <w:r>
        <w:t>图10 关键词突现图（拟使用6.2.R3；待生成）。</w:t>
      </w:r>
    </w:p>
    <w:p>
      <w:pPr>
        <w:pStyle w:val="Heading1"/>
      </w:pPr>
      <w:r>
        <w:t>4 讨论</w:t>
      </w:r>
    </w:p>
    <w:p>
      <w:pPr>
        <w:pStyle w:val="Heading2"/>
      </w:pPr>
      <w:r>
        <w:t>4.1 研究增长与合作结构</w:t>
      </w:r>
    </w:p>
    <w:p>
      <w:r>
        <w:t>待结果核定后，将年度变化与国家、机构、作者网络结合讨论。高发文量反映出版贡献，高中心性反映网络中的桥接位置，两者分别解释。国家地图中的合作联系不代表政策效果或实际临床服务能力。</w:t>
      </w:r>
    </w:p>
    <w:p>
      <w:pPr>
        <w:pStyle w:val="Heading2"/>
      </w:pPr>
      <w:r>
        <w:t>4.2 研究主题与时间演变</w:t>
      </w:r>
    </w:p>
    <w:p>
      <w:r>
        <w:t>以共现、聚类、时间演变、桑基图与突现结果相互印证，区分持续性核心主题与短期增长议题。若不同疾病聚类相互分离，应讨论疾病异质性；若干针与其他针灸主题分布不同，应核查疾病与研究设计构成，而不据网络距离推断疗效差异。</w:t>
      </w:r>
    </w:p>
    <w:p>
      <w:pPr>
        <w:pStyle w:val="Heading2"/>
      </w:pPr>
      <w:r>
        <w:t>4.3 方法学局限</w:t>
      </w:r>
    </w:p>
    <w:p>
      <w:r>
        <w:t>双库仍不能覆盖全部相关研究，英文限制可能影响地区代表性。严格排除缺少关键词或机构的记录，会改变历史年度与国家结构，因此应报告补全前后缺项和敏感性分析。两库的关键词与引文覆盖不同，合并后仍须按字段报告覆盖率。作者同名及机构名称变体可能影响网络。共被引、突现、中心性与聚类结果依赖数据和参数，不等同于治疗效果或临床推荐强度。截止年度不完整，回溯检索还可能包含截止日后才入库的早期发表记录。</w:t>
      </w:r>
    </w:p>
    <w:p>
      <w:pPr>
        <w:pStyle w:val="Heading1"/>
      </w:pPr>
      <w:r>
        <w:t>5 结论</w:t>
      </w:r>
    </w:p>
    <w:p>
      <w:r>
        <w:t>待完成WoS与PubMed去重合并、按修订标准重筛以及CiteSpace正式分析后，结合出版趋势、合作结构和主题时间演变形成结论。现有PubMed单库的146篇神经性痉挛结果不能作为本稿双库、广义范围且严格书目信息完整性标准下的最终结果。</w:t>
      </w:r>
    </w:p>
    <w:p>
      <w:pPr>
        <w:pStyle w:val="Heading1"/>
      </w:pPr>
      <w:r>
        <w:t>参考来源</w:t>
      </w:r>
    </w:p>
    <w:p>
      <w:r>
        <w:t>[1] National Library of Medicine. MeSH Browser: Spasm. https://meshb.nlm.nih.gov/record/ui?ui=D013035</w:t>
      </w:r>
    </w:p>
    <w:p>
      <w:r>
        <w:t>[2] National Library of Medicine. MeSH Browser: Muscle Spasticity. https://meshb.nlm.nih.gov/record/ui?ui=D009128</w:t>
      </w:r>
    </w:p>
    <w:p>
      <w:r>
        <w:t>[3] CiteSpace. Betweenness Centrality. https://citespace.podia.com/glossary-betweenness_centrality</w:t>
      </w:r>
    </w:p>
    <w:p>
      <w:r>
        <w:t>[4] CiteSpace101. Structural and Temporal Properties. https://sites.google.com/site/citespace101/11-advanced-topics/11-2-structural-properties</w:t>
      </w:r>
    </w:p>
    <w:p>
      <w:r>
        <w:t>参考文献说明：以上为本次方法修订核对来源；正式投稿前须补充疾病背景、既往文献计量研究与CiteSpace方法论文，按目标期刊统一格式。原需求中的[19]、[194]和[201]未附对应来源，不保留无法核实的编号。</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针灸治疗痉挛知识图谱分析｜双库待补数据工作稿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pPr>
    <w:rPr>
      <w:rFonts w:ascii="Times New Roman" w:hAnsi="Times New Roman" w:eastAsia="Songti SC"/>
      <w:color w:val="000000"/>
      <w:sz w:val="23"/>
    </w:rPr>
  </w:style>
  <w:style w:type="paragraph" w:styleId="Header">
    <w:name w:val="header"/>
    <w:basedOn w:val="Normal"/>
    <w:link w:val="HeaderChar"/>
    <w:uiPriority w:val="99"/>
    <w:unhideWhenUsed/>
    <w:rsid w:val="00E618BF"/>
    <w:pPr>
      <w:widowControl/>
      <w:tabs>
        <w:tab w:val="center" w:pos="4680"/>
        <w:tab w:val="right" w:pos="9360"/>
      </w:tabs>
      <w:spacing w:after="0" w:line="276" w:lineRule="auto" w:before="0"/>
    </w:pPr>
    <w:rPr>
      <w:rFonts w:ascii="Times New Roman" w:hAnsi="Times New Roman" w:eastAsia="Songti SC"/>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76" w:lineRule="auto" w:before="0"/>
    </w:pPr>
    <w:rPr>
      <w:rFonts w:ascii="Times New Roman" w:hAnsi="Times New Roman" w:eastAsia="Songti SC"/>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Times New Roman" w:hAnsi="Times New Roman" w:eastAsia="PingFang SC"/>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6" w:lineRule="auto"/>
      <w:outlineLvl w:val="1"/>
    </w:pPr>
    <w:rPr>
      <w:rFonts w:asciiTheme="majorHAnsi" w:eastAsiaTheme="majorEastAsia" w:hAnsiTheme="majorHAnsi" w:cstheme="majorBidi" w:ascii="Times New Roman" w:hAnsi="Times New Roman"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Theme="majorHAnsi" w:eastAsiaTheme="majorEastAsia" w:hAnsiTheme="majorHAnsi" w:cstheme="majorBidi" w:ascii="Times New Roman" w:hAnsi="Times New Roman"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20" w:line="276" w:lineRule="auto" w:before="0"/>
      <w:contextualSpacing/>
    </w:pPr>
    <w:rPr>
      <w:rFonts w:asciiTheme="majorHAnsi" w:eastAsiaTheme="majorEastAsia" w:hAnsiTheme="majorHAnsi" w:cstheme="majorBidi" w:ascii="Times New Roman" w:hAnsi="Times New Roman" w:eastAsia="PingFang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before="80" w:after="160"/>
    </w:pPr>
    <w:rPr>
      <w:rFonts w:ascii="Times New Roman" w:hAnsi="Times New Roman" w:eastAsia="Songti S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针灸与干针干预神经性痉挛的出版物结构与主题分布：基于PubMed的文献计量分析</dc:title>
  <dc:subject>PubMed文献计量分析；146篇神经性痉挛主分析文献</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