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author-review-draft"/>
    <w:p>
      <w:pPr>
        <w:pStyle w:val="FirstParagraph"/>
      </w:pPr>
      <w:r>
        <w:t xml:space="preserve">Dear Editor,</w:t>
      </w:r>
    </w:p>
    <w:p>
      <w:pPr>
        <w:pStyle w:val="BodyText"/>
      </w:pPr>
      <w:r>
        <w:t xml:space="preserve">Please consider our manuscript, “Network pharmacology and independent transcriptome validation of core herbs selected from Xiao Ying Tang in thyroid cancer”, for publication as an Original Article in the Journal of the College of Physicians and Surgeons Pakistan.</w:t>
      </w:r>
    </w:p>
    <w:p>
      <w:pPr>
        <w:pStyle w:val="BodyText"/>
      </w:pPr>
      <w:r>
        <w:t>The study examines genes associated with core herbs selected from Xiao Ying Tang and evaluates their disease relevance in two independent papillary thyroid carcinoma expression datasets. The analysis uses matched tumour and normal thyroid tissue from 24 patients in GSE60542 and 44 in GSE33630, analysed separately with paired models. Candidate-set enrichment is assessed against both the full measured-gene background and a disease-restricted background.</w:t>
      </w:r>
    </w:p>
    <w:p>
      <w:pPr>
        <w:pStyle w:val="BodyText"/>
      </w:pPr>
      <w:r>
        <w:t>XYT- and Xia Ku Cao-associated genes were over-represented among differentially expressed genes under both backgrounds in both cohorts. Of the 666 differential-expression findings in GSE60542, 536 met the same criteria with concordant direction in GSE33630. The smaller Zhe Bei Mu set was not significantly enriched, and none of the three preselected genes met the combined differential-expression criteria. We report these findings as disease associations that guide functional investigation, without claiming treatment efficacy or herb synergy.</w:t>
      </w:r>
    </w:p>
    <w:p>
      <w:pPr>
        <w:pStyle w:val="BodyText"/>
      </w:pPr>
      <w:r>
        <w:t>The manuscript includes three main figures, with supplementary gene lists, expression results, sample manifests, enrichment results and supporting illustrations. The work uses public, de-identified data and involved no new participant recruitment or intervention. All authors have reviewed and approved the manuscript. Funding, author contributions and conflicts of interest are disclosed in the manuscript.</w:t>
      </w:r>
    </w:p>
    <w:p>
      <w:pPr>
        <w:pStyle w:val="BodyText"/>
      </w:pPr>
      <w:r>
        <w:t xml:space="preserve">Thank you for considering this work.</w:t>
      </w:r>
    </w:p>
    <w:p>
      <w:pPr>
        <w:pStyle w:val="BodyText"/>
      </w:pPr>
      <w:r>
        <w:t xml:space="preserve">Yours sincerely,</w:t>
      </w:r>
    </w:p>
    <w:bookmarkEnd w:id="9"/>
    <w:p>
      <w:r>
        <w:t>Jiacai Li</w:t>
      </w:r>
    </w:p>
    <w:p>
      <w:r>
        <w:t>Practical Teaching Center, Shanghai University of Medicine &amp; Health Sciences, Shanghai, China</w:t>
      </w:r>
    </w:p>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lastModifiedBy/>
</cp:coreProperties>
</file>

<file path=docProps/custom.xml><?xml version="1.0" encoding="utf-8"?>
<Properties xmlns="http://schemas.openxmlformats.org/officeDocument/2006/custom-properties" xmlns:vt="http://schemas.openxmlformats.org/officeDocument/2006/docPropsVTypes"/>
</file>