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10c37ec5636777398645b31c345e193d47eb797"/>
    <w:p>
      <w:pPr>
        <w:pStyle w:val="Heading1"/>
      </w:pPr>
      <w:r>
        <w:t xml:space="preserve">Network pharmacology and independent transcriptome validation of core herbs selected from Xiao Ying Tang in thyroid cancer</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t xml:space="preserve">*Tao Li, Jiacai Li, and Yajie Ding contributed equally to this work and share first authorship.</w:t>
      </w:r>
    </w:p>
    <w:p>
      <w:pPr>
        <w:pStyle w:val="BodyText"/>
      </w:pPr>
      <w:r>
        <w:t xml:space="preserve">Correspondence: Xing Zhang, Department of Respiratory Disease, Shuguang Hospital Affiliated to Shanghai University of Traditional Chinese Medicine, Shanghai 201203, China. Tel: 021-20256375; Email: zhangxing2012@shutcm.edu.cn</w:t>
      </w:r>
    </w:p>
    <w:p>
      <w:pPr>
        <w:pStyle w:val="BodyText"/>
      </w:pPr>
      <w:r>
        <w:t xml:space="preserve">Additional author contact details: Yajie Ding, Email: dingyajie2018@163.com.</w:t>
      </w:r>
    </w:p>
    <w:bookmarkEnd w:id="9"/>
    <w:bookmarkStart w:id="10" w:name="abstract"/>
    <w:p>
      <w:pPr>
        <w:pStyle w:val="Heading1"/>
        <w:pageBreakBefore/>
      </w:pPr>
      <w:r>
        <w:t xml:space="preserve">Abstract</w:t>
      </w:r>
    </w:p>
    <w:p>
      <w:pPr>
        <w:pStyle w:val="FirstParagraph"/>
      </w:pPr>
      <w:r>
        <w:rPr>
          <w:b/>
          <w:bCs/>
        </w:rPr>
        <w:t xml:space="preserve">Objective:</w:t>
      </w:r>
      <w:r>
        <w:t xml:space="preserve"> </w:t>
      </w:r>
      <w:r>
        <w:t xml:space="preserve">To characterise thyroid-cancer-associated genes linked to core herbs selected from Xiao Ying Tang (XYT) and assess their expression in an external papillary thyroid carcinoma (PTC) cohort.</w:t>
      </w:r>
    </w:p>
    <w:p>
      <w:pPr>
        <w:pStyle w:val="BodyText"/>
      </w:pPr>
      <w:r>
        <w:rPr>
          <w:b/>
          <w:bCs/>
        </w:rPr>
        <w:t xml:space="preserve">Study design:</w:t>
      </w:r>
      <w:r>
        <w:t xml:space="preserve"> </w:t>
      </w:r>
      <w:r>
        <w:t xml:space="preserve">Secondary analysis of public databases and paired tumour–normal expression data.</w:t>
      </w:r>
    </w:p>
    <w:p>
      <w:pPr>
        <w:pStyle w:val="BodyText"/>
      </w:pPr>
      <w:r>
        <w:rPr>
          <w:b/>
          <w:bCs/>
        </w:rPr>
        <w:t xml:space="preserve">Methodology:</w:t>
      </w:r>
      <w:r>
        <w:t xml:space="preserve"> </w:t>
      </w:r>
      <w:r>
        <w:t xml:space="preserve">Compound-associated genes for XYT, Zhe Bei Mu (ZBM), and Xia Ku Cao (XKC) were intersected with a GeneCards disease list and analysed for Gene Ontology and KEGG enrichment. In GSE60542, repeated tissue blocks were averaged within patient and tissue type. Tumour–normal differences were analysed with paired limma models for 24 patients. Differential expression required a Benjamini–Hochberg-adjusted P value &lt;0.05 and an absolute log2 fold change ≥1. Candidate-set enrichment was tested against all measured genes and a background restricted to disease-associated measured genes.</w:t>
      </w:r>
    </w:p>
    <w:p>
      <w:pPr>
        <w:pStyle w:val="BodyText"/>
      </w:pPr>
      <w:r>
        <w:rPr>
          <w:b/>
          <w:bCs/>
        </w:rPr>
        <w:t xml:space="preserve">Results:</w:t>
      </w:r>
      <w:r>
        <w:t xml:space="preserve"> </w:t>
      </w:r>
      <w:r>
        <w:t xml:space="preserve">The disease intersections comprised 78 ZBM, 842 XKC, and 1,595 XYT genes; both individual-herb sets were contained within XYT. Oxidative-stress and calcium-related annotations were enriched. Of 20,848 genes assessed in GSE60542, 666 met the differential-expression criteria. These included 111/1,518 measured XYT genes, 69/805 XKC genes, and 4/77 ZBM genes. XYT and XKC remained enriched against the disease-restricted background (odds ratios 1.80 and 2.08; adjusted P =5.31 × 10</w:t>
      </w:r>
      <w:r>
        <w:rPr>
          <w:vertAlign w:val="superscript"/>
        </w:rPr>
        <w:t xml:space="preserve">-7</w:t>
      </w:r>
      <w:r>
        <w:t xml:space="preserve"> </w:t>
      </w:r>
      <w:r>
        <w:t xml:space="preserve">for each). ZBM enrichment was not statistically significant. None of POLB, CACNA1H, or CYP3A4 met the combined differential-expression criteria.</w:t>
      </w:r>
    </w:p>
    <w:p>
      <w:pPr>
        <w:pStyle w:val="BodyText"/>
      </w:pPr>
      <w:r>
        <w:rPr>
          <w:b/>
          <w:bCs/>
        </w:rPr>
        <w:t xml:space="preserve">Conclusion:</w:t>
      </w:r>
      <w:r>
        <w:t xml:space="preserve"> </w:t>
      </w:r>
      <w:r>
        <w:t xml:space="preserve">XYT- and XKC-associated genes were over-represented among genes altered in PTC tissue. These associations identify candidates for functional investigation of the selected herbs.</w:t>
      </w:r>
    </w:p>
    <w:p>
      <w:pPr>
        <w:pStyle w:val="BodyText"/>
      </w:pPr>
      <w:r>
        <w:rPr>
          <w:b/>
          <w:bCs/>
        </w:rPr>
        <w:t xml:space="preserve">Keywords:</w:t>
      </w:r>
      <w:r>
        <w:t xml:space="preserve"> </w:t>
      </w:r>
      <w:r>
        <w:t xml:space="preserve">Thyroid Neoplasms; Medicine, Chinese Traditional; Gene Ontology; Computational Biology; Transcriptome</w:t>
      </w:r>
    </w:p>
    <w:bookmarkEnd w:id="10"/>
    <w:bookmarkStart w:id="11" w:name="introduction"/>
    <w:p>
      <w:pPr>
        <w:pStyle w:val="Heading1"/>
      </w:pPr>
      <w:r>
        <w:t xml:space="preserve">Introduction</w:t>
      </w:r>
    </w:p>
    <w:p>
      <w:pPr>
        <w:pStyle w:val="FirstParagraph"/>
      </w:pPr>
      <w:r>
        <w:t xml:space="preserve">Thyroid cancer includes malignancies with distinct molecular features and clinical courses.</w:t>
      </w:r>
      <w:r>
        <w:rPr>
          <w:vertAlign w:val="superscript"/>
        </w:rPr>
        <w:t xml:space="preserve">1</w:t>
      </w:r>
      <w:r>
        <w:t xml:space="preserve"> </w:t>
      </w:r>
      <w:r>
        <w:t xml:space="preserve">Surgery, radioactive iodine in selected patients, and thyroid hormone management form the basis of differentiated thyroid cancer care.</w:t>
      </w:r>
      <w:r>
        <w:rPr>
          <w:vertAlign w:val="superscript"/>
        </w:rPr>
        <w:t xml:space="preserve">2</w:t>
      </w:r>
      <w:r>
        <w:t xml:space="preserve"> </w:t>
      </w:r>
      <w:r>
        <w:t xml:space="preserve">Persistent or treatment-resistant disease has prompted investigation of additional therapeutic approaches. Because molecular drivers differ across thyroid cancer subtypes, candidate mechanisms identified from broad disease databases need to be examined in a defined tumour context.</w:t>
      </w:r>
      <w:r>
        <w:rPr>
          <w:vertAlign w:val="superscript"/>
        </w:rPr>
        <w:t xml:space="preserve">3</w:t>
      </w:r>
    </w:p>
    <w:p>
      <w:pPr>
        <w:pStyle w:val="BodyText"/>
      </w:pPr>
      <w:r>
        <w:t xml:space="preserve">Network pharmacology can link herbal constituents to genes and biological processes. Its value lies in generating testable hypotheses, although database coverage and predicted interactions can strongly influence the resulting gene sets. An external tumour-expression dataset can assess whether those genes are altered in disease tissue, while leaving their response to herbal treatment unresolved.</w:t>
      </w:r>
    </w:p>
    <w:p>
      <w:pPr>
        <w:pStyle w:val="BodyText"/>
      </w:pPr>
      <w:r>
        <w:t xml:space="preserve">We studied core herbs selected from Xiao Ying Tang for their relevance to thyroid disease; XYT refers to this selected set throughout. Zhe Bei Mu (ZBM; Fritillariae Thunbergii Bulbus) and Xia Ku Cao (XKC; Prunellae Spica) were examined separately to describe their contributions to the broader annotation profile. We compared compound-associated gene coverage and functional annotations, then assessed the fixed candidate sets in paired papillary thyroid carcinoma (PTC) and normal thyroid samples. Exploratory docking of β-sitosterol was included to examine candidate compound–protein interactions.</w:t>
      </w:r>
    </w:p>
    <w:bookmarkEnd w:id="11"/>
    <w:bookmarkStart w:id="12" w:name="methodology"/>
    <w:p>
      <w:pPr>
        <w:pStyle w:val="Heading1"/>
      </w:pPr>
      <w:r>
        <w:t xml:space="preserve">Methodology</w:t>
      </w:r>
    </w:p>
    <w:p>
      <w:pPr>
        <w:pStyle w:val="FirstParagraph"/>
      </w:pPr>
      <w:r>
        <w:t xml:space="preserve">This study was conducted at Shanghai University of Medicine &amp; Health Sciences, Shanghai, China. The analysis combined herb–compound and compound–gene data, functional enrichment, paired tumour-expression profiles, and exploratory molecular docking.</w:t>
      </w:r>
    </w:p>
    <w:p>
      <w:pPr>
        <w:pStyle w:val="BodyText"/>
      </w:pPr>
      <w:r>
        <w:t xml:space="preserve">Herb–ingredient records were obtained from TCMSP and linked to PubChem compound identifiers (CIDs) by matching lower-case compound names to a synonym table.</w:t>
      </w:r>
      <w:r>
        <w:rPr>
          <w:vertAlign w:val="superscript"/>
        </w:rPr>
        <w:t xml:space="preserve">4,5</w:t>
      </w:r>
      <w:r>
        <w:t xml:space="preserve"> </w:t>
      </w:r>
      <w:r>
        <w:t xml:space="preserve">Compound-associated genes were assembled from BindingDB, BATMAN-TCM known and predicted interactions, and the IUPHAR/BPS Guide to PHARMACOLOGY.</w:t>
      </w:r>
      <w:r>
        <w:rPr>
          <w:vertAlign w:val="superscript"/>
        </w:rPr>
        <w:t xml:space="preserve">6,7,8</w:t>
      </w:r>
      <w:r>
        <w:t xml:space="preserve"> </w:t>
      </w:r>
      <w:r>
        <w:t xml:space="preserve">UniProt protein identifiers in BindingDB were mapped to the corresponding gene symbols. Recorded associations from these sources were retained, and BATMAN-TCM predictions were included when the prediction score exceeded 0.80. The resulting CID–gene records were combined and gene symbols deduplicated within each CID. TCMSP supplied the herb–ingredient inventory; the retained gene associations came from the three target resources listed above.</w:t>
      </w:r>
    </w:p>
    <w:p>
      <w:pPr>
        <w:pStyle w:val="BodyText"/>
      </w:pPr>
      <w:r>
        <w:t xml:space="preserve">The selected XYT set comprised E Zhu, Bai Shao, Dang Gui, Chai Hu, Qing Pi, Huang Yao Zi, Xia Ku Cao, Zao Jiao Ci, Mu Dan Pi, Bai Zhu, Fu Ling, Bai Mao Xia Ku Cao, Xuan Shen, and Zhe Bei Mu. ZBM and XKC records were extracted by their Chinese herb names and processed using the same workflow. Duplicate herb–compound records were collapsed within each set. Distinct CIDs were counted at three stages: all mapped ingredients, ingredients linked to retained genes, and ingredients linked to disease-overlapping genes.</w:t>
      </w:r>
    </w:p>
    <w:p>
      <w:pPr>
        <w:pStyle w:val="BodyText"/>
      </w:pPr>
      <w:r>
        <w:t xml:space="preserve">Thyroid-tumour-associated genes were obtained from a GeneCards export containing 12,987 unique gene symbols.</w:t>
      </w:r>
      <w:r>
        <w:rPr>
          <w:vertAlign w:val="superscript"/>
        </w:rPr>
        <w:t xml:space="preserve">9</w:t>
      </w:r>
      <w:r>
        <w:t xml:space="preserve"> </w:t>
      </w:r>
      <w:r>
        <w:t xml:space="preserve">The complete exported gene list was used for all three comparisons. Ingredient-associated gene symbols were split on semicolons, deduplicated, and intersected with the disease list to define the ZBM, XKC, and XYT candidate sets.</w:t>
      </w:r>
    </w:p>
    <w:p>
      <w:pPr>
        <w:pStyle w:val="BodyText"/>
      </w:pPr>
      <w:r>
        <w:t xml:space="preserve">The external expression analysis used GSE60542, an Affymetrix GPL570 study of PTC and associated tissues.</w:t>
      </w:r>
      <w:r>
        <w:rPr>
          <w:vertAlign w:val="superscript"/>
        </w:rPr>
        <w:t xml:space="preserve">10</w:t>
      </w:r>
      <w:r>
        <w:t xml:space="preserve"> </w:t>
      </w:r>
      <w:r>
        <w:t xml:space="preserve">The submitter’s fRMA-normalised log2 expression matrix was used for analysis. Only primary PTC and normal thyroid samples were eligible; lymph-node tissue and nodal metastases were excluded. Patients with both eligible tissue types were retained. Repeated blocks were averaged within each patient and tissue type. Probes with missing, placeholder, or ambiguous multiple-gene annotations were excluded; retained probes mapping to the same gene were averaged on the log2 scale. This yielded 20,848 genes from 42,904 of 54,675 probes. Differential expression was analysed in R 4.3.1 with limma 3.58.1 using</w:t>
      </w:r>
      <w:r>
        <w:t xml:space="preserve"> </w:t>
      </w:r>
      <w:r>
        <w:rPr>
          <w:rStyle w:val="VerbatimChar"/>
        </w:rPr>
        <w:t xml:space="preserve">~ patient_id + tissue_group</w:t>
      </w:r>
      <w:r>
        <w:t xml:space="preserve">, normal thyroid as the reference, and robust empirical Bayes moderation.</w:t>
      </w:r>
      <w:r>
        <w:rPr>
          <w:vertAlign w:val="superscript"/>
        </w:rPr>
        <w:t xml:space="preserve">11</w:t>
      </w:r>
      <w:r>
        <w:t xml:space="preserve"> </w:t>
      </w:r>
      <w:r>
        <w:t xml:space="preserve">Positive log2 fold changes indicate higher tumour expression. P values were adjusted across all measured genes by the Benjamini–Hochberg method; differential expression required adjusted P &lt;0.05 and |log2FC| ≥1. The XYT, XKC, and ZBM candidate sets and thresholds were fixed before this analysis. One-sided Fisher exact tests assessed over-representation among differentially expressed genes, using either all 20,848 measured genes or the 10,655 measured genes in the disease list as the background. The six P values were adjusted together. Forest plots show conditional odds-ratio estimates and two-sided exact 95% confidence intervals; their P values come from the specified one-sided tests.</w:t>
      </w:r>
    </w:p>
    <w:p>
      <w:pPr>
        <w:pStyle w:val="BodyText"/>
      </w:pPr>
      <w:r>
        <w:t xml:space="preserve">Unique gene symbols were mapped to Entrez identifiers with</w:t>
      </w:r>
      <w:r>
        <w:t xml:space="preserve"> </w:t>
      </w:r>
      <w:r>
        <w:rPr>
          <w:rStyle w:val="VerbatimChar"/>
        </w:rPr>
        <w:t xml:space="preserve">bitr</w:t>
      </w:r>
      <w:r>
        <w:t xml:space="preserve"> </w:t>
      </w:r>
      <w:r>
        <w:t xml:space="preserve">and org.Hs.eg.db, and all returned identifiers were used for enrichment analysis in clusterProfiler.</w:t>
      </w:r>
      <w:r>
        <w:rPr>
          <w:vertAlign w:val="superscript"/>
        </w:rPr>
        <w:t xml:space="preserve">12</w:t>
      </w:r>
      <w:r>
        <w:t xml:space="preserve"> </w:t>
      </w:r>
      <w:r>
        <w:t xml:space="preserve">GO analysis covered biological process (BP), molecular function (MF), and cellular component (CC); KEGG analysis used human annotations. Enrichment was assessed by upper-tail hypergeometric tests with Benjamini–Hochberg correction,</w:t>
      </w:r>
      <w:r>
        <w:t xml:space="preserve"> </w:t>
      </w:r>
      <w:r>
        <w:rPr>
          <w:rStyle w:val="VerbatimChar"/>
        </w:rPr>
        <w:t xml:space="preserve">pvalueCutoff = 0.05</w:t>
      </w:r>
      <w:r>
        <w:t xml:space="preserve">, and</w:t>
      </w:r>
      <w:r>
        <w:t xml:space="preserve"> </w:t>
      </w:r>
      <w:r>
        <w:rPr>
          <w:rStyle w:val="VerbatimChar"/>
        </w:rPr>
        <w:t xml:space="preserve">qvalueCutoff = 0.2</w:t>
      </w:r>
      <w:r>
        <w:t xml:space="preserve">. The default annotation backgrounds comprised 18,888 genes for BP, 18,522 for MF, 19,894 for CC, and 8,859 for KEGG. Terms with adjusted P &lt;0.05 were reported.</w:t>
      </w:r>
    </w:p>
    <w:p>
      <w:pPr>
        <w:pStyle w:val="BodyText"/>
      </w:pPr>
      <w:r>
        <w:t xml:space="preserve">GO figures display the union of the three lowest-adjusted-P terms per set within each ontology. KEGG figures display the union of the five lowest-adjusted-P pathways per set, with the thyroid cancer pathway (hsa05216) added because of the study question. GeneRatio uses the annotated input size recorded for each analysis, which may differ across ontologies. Missing bars indicate terms absent from the significant-result tables. These figures provide a descriptive comparison of annotation profiles.</w:t>
      </w:r>
    </w:p>
    <w:p>
      <w:pPr>
        <w:pStyle w:val="BodyText"/>
      </w:pPr>
      <w:r>
        <w:t xml:space="preserve">Ligands were prepared with Open Babel, and receptor structures were obtained from RCSB PDB.</w:t>
      </w:r>
      <w:r>
        <w:rPr>
          <w:vertAlign w:val="superscript"/>
        </w:rPr>
        <w:t xml:space="preserve">13,14</w:t>
      </w:r>
      <w:r>
        <w:t xml:space="preserve"> </w:t>
      </w:r>
      <w:r>
        <w:t xml:space="preserve">Initial screening used AutoDock Vina, and supplementary β-sitosterol docking used smina.</w:t>
      </w:r>
      <w:r>
        <w:rPr>
          <w:vertAlign w:val="superscript"/>
        </w:rPr>
        <w:t xml:space="preserve">15,16</w:t>
      </w:r>
      <w:r>
        <w:t xml:space="preserve"> </w:t>
      </w:r>
      <w:r>
        <w:t xml:space="preserve">Structural assessment focused on human CYP3A4 (6UNI) and apo CaV3.2/CACNA1H (9AYG).</w:t>
      </w:r>
      <w:r>
        <w:rPr>
          <w:vertAlign w:val="superscript"/>
        </w:rPr>
        <w:t xml:space="preserve">14,17</w:t>
      </w:r>
      <w:r>
        <w:t xml:space="preserve"> </w:t>
      </w:r>
      <w:r>
        <w:t xml:space="preserve">The bacterial 4P5A structure was excluded from the human-target analysis. The initial Vina protocol specified a 20 × 20 × 20 Å search box centred on the mean receptor ATOM coordinates rounded to whole angstroms, exhaustiveness 32, and five CPU threads. Supplementary smina docking used exhaustiveness 8, nine output modes, and one CPU thread. The search box was defined from the extracted reference structure with</w:t>
      </w:r>
      <w:r>
        <w:t xml:space="preserve"> </w:t>
      </w:r>
      <w:r>
        <w:rPr>
          <w:rStyle w:val="VerbatimChar"/>
        </w:rPr>
        <w:t xml:space="preserve">--autobox_add 4</w:t>
      </w:r>
      <w:r>
        <w:t xml:space="preserve">. The minimum-score poses were examined alongside receptor identity, cofactor retention, and the residues used to define the search region.</w:t>
      </w:r>
    </w:p>
    <w:bookmarkEnd w:id="12"/>
    <w:bookmarkStart w:id="22" w:name="results"/>
    <w:p>
      <w:pPr>
        <w:pStyle w:val="Heading1"/>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 corresponding unique ingredient-associated gene totals were 107, 1,094, and 2,131. Of these, 78/107 (72.9%), 842/1,094 (77.0%), and 1,595/2,131 (74.8%) overlapped with the common disease set. Disease-only counts were 12,909, 12,145, and 11,392, while ingredient-only counts were 29, 252, and 536 (Supplementary Figure S1). All 78 ZBM and all 842 XKC disease-overlapping genes were contained in the 1,595-gene XYT intersection. XYT covered the largest gene set, while the proportions overlapping the disease list were similar across the three sets.</w:t>
      </w:r>
    </w:p>
    <w:p>
      <w:pPr>
        <w:pStyle w:val="BodyText"/>
      </w:pPr>
      <w:r>
        <w:t xml:space="preserve">GO analysis identified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 annotation profiles are shown in Figure 1.</w:t>
      </w:r>
    </w:p>
    <w:p>
      <w:pPr>
        <w:pStyle w:val="BodyText"/>
      </w:pPr>
      <w:r>
        <w:drawing>
          <wp:inline>
            <wp:extent cx="5334000" cy="6134100"/>
            <wp:effectExtent b="0" l="0" r="0" t="0"/>
            <wp:docPr descr="" title="" id="14" name="Picture"/>
            <a:graphic>
              <a:graphicData uri="http://schemas.openxmlformats.org/drawingml/2006/picture">
                <pic:pic>
                  <pic:nvPicPr>
                    <pic:cNvPr descr="/home/data1/zhiyu/data/Github/Li_Project/Thyroid_TCM/edit.Paper/output/20261025_19_JCPSP_submission/09_figures/01_Figure_1.png" id="15" name="Picture"/>
                    <pic:cNvPicPr>
                      <a:picLocks noChangeArrowheads="1" noChangeAspect="1"/>
                    </pic:cNvPicPr>
                  </pic:nvPicPr>
                  <pic:blipFill>
                    <a:blip r:embed="rId13"/>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KEGG analysis identified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significant ZBM results. Lipid and atherosclerosis was the lowest-adjusted-P KEGG term for XKC and XYT, whereas nicotine addiction ranked first for ZBM (Figure 2).</w:t>
      </w:r>
    </w:p>
    <w:p>
      <w:pPr>
        <w:pStyle w:val="BodyText"/>
      </w:pPr>
      <w:r>
        <w:drawing>
          <wp:inline>
            <wp:extent cx="5334000" cy="3467100"/>
            <wp:effectExtent b="0" l="0" r="0" t="0"/>
            <wp:docPr descr="" title="" id="17" name="Picture"/>
            <a:graphic>
              <a:graphicData uri="http://schemas.openxmlformats.org/drawingml/2006/picture">
                <pic:pic>
                  <pic:nvPicPr>
                    <pic:cNvPr descr="/home/data1/zhiyu/data/Github/Li_Project/Thyroid_TCM/edit.Paper/output/20261025_19_JCPSP_submission/09_figures/02_Figure_2.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Selected KEGG pathways. Selection uses the union of the five lowest-adjusted-P pathways per group, plus hsa05216 (thyroid cancer). Bars show GeneRatio; colours and missing-bar interpretation follow Figure 1. Full enrichment results and figure source data accompany the manuscript.</w:t>
      </w:r>
    </w:p>
    <w:p>
      <w:pPr>
        <w:pStyle w:val="BodyText"/>
      </w:pPr>
      <w:r>
        <w:rPr>
          <w:b/>
          <w:bCs/>
        </w:rPr>
        <w:t xml:space="preserve">Paired PTC transcriptome analysis.</w:t>
      </w:r>
      <w:r>
        <w:t xml:space="preserve"> </w:t>
      </w:r>
      <w:r>
        <w:t xml:space="preserve">The final analysis included 24 patients with 28 primary-tumour blocks and 27 normal-thyroid blocks, averaged to 48 patient–tissue observations. Of 20,848 measured genes, 666 met the differential-expression criteria: 347 were higher and 319 lower in tumour tissue (Figure 3). XYT included 111 differentially expressed genes among 1,518 measured candidates. The corresponding odds ratios were 2.67 against all measured genes (adjusted P =6.08 × 10</w:t>
      </w:r>
      <w:r>
        <w:rPr>
          <w:vertAlign w:val="superscript"/>
        </w:rPr>
        <w:t xml:space="preserve">-16</w:t>
      </w:r>
      <w:r>
        <w:t xml:space="preserve">) and 1.80 against the disease-restricted background (adjusted P =5.31 × 10</w:t>
      </w:r>
      <w:r>
        <w:rPr>
          <w:vertAlign w:val="superscript"/>
        </w:rPr>
        <w:t xml:space="preserve">-7</w:t>
      </w:r>
      <w:r>
        <w:t xml:space="preserve">). XKC included 69/805 differentially expressed genes, with odds ratios of 3.05 and 2.08 (adjusted P =2.44 × 10</w:t>
      </w:r>
      <w:r>
        <w:rPr>
          <w:vertAlign w:val="superscript"/>
        </w:rPr>
        <w:t xml:space="preserve">-13</w:t>
      </w:r>
      <w:r>
        <w:t xml:space="preserve"> </w:t>
      </w:r>
      <w:r>
        <w:t xml:space="preserve">and 5.31 × 10</w:t>
      </w:r>
      <w:r>
        <w:rPr>
          <w:vertAlign w:val="superscript"/>
        </w:rPr>
        <w:t xml:space="preserve">-7</w:t>
      </w:r>
      <w:r>
        <w:t xml:space="preserve">). ZBM included 4/77 differentially expressed genes; neither test was significant (adjusted P =0.278 and 0.482). POLB showed a small decrease (log2FC =−0.070; adjusted P =0.00271) that fell below the required fold-change threshold. CACNA1H and CYP3A4 showed small, non-significant changes (log2FC =−0.053 and −0.031; adjusted P =0.273 and 0.338). Thus, none of these three genes met both criteria.</w:t>
      </w:r>
    </w:p>
    <w:p>
      <w:pPr>
        <w:pStyle w:val="BodyText"/>
      </w:pPr>
      <w:r>
        <w:drawing>
          <wp:inline>
            <wp:extent cx="5334000" cy="2411895"/>
            <wp:effectExtent b="0" l="0" r="0" t="0"/>
            <wp:docPr descr="" title="" id="20" name="Picture"/>
            <a:graphic>
              <a:graphicData uri="http://schemas.openxmlformats.org/drawingml/2006/picture">
                <pic:pic>
                  <pic:nvPicPr>
                    <pic:cNvPr descr="/home/data1/zhiyu/data/Github/Li_Project/Thyroid_TCM/edit.Paper/output/20261025_19_JCPSP_submission/09_figures/03_Figure_3.png" id="21" name="Picture"/>
                    <pic:cNvPicPr>
                      <a:picLocks noChangeArrowheads="1" noChangeAspect="1"/>
                    </pic:cNvPicPr>
                  </pic:nvPicPr>
                  <pic:blipFill>
                    <a:blip r:embed="rId19"/>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Paired PTC transcriptome analysis in GSE60542 (24 patients). (A) Paired-limma volcano plot for 20,848 measured genes. Dashed lines mark adjusted P =0.05 and |log2FC| =1. Candidate sets overlap: XYT points (purple) were drawn first, followed by XKC (teal) and ZBM (orange), so the visible colour does not imply exclusive set membership. (B) Conditional odds ratios with two-sided exact 95% confidence intervals for over-representation among differentially expressed genes. Backgrounds comprise all measured genes or measured genes in the disease list. FDR labels show Benjamini–Hochberg-adjusted P values from the six one-sided Fisher tests.</w:t>
      </w:r>
    </w:p>
    <w:p>
      <w:pPr>
        <w:pStyle w:val="BodyText"/>
      </w:pPr>
      <w:r>
        <w:t xml:space="preserve">β-Sitosterol (CID 222284) was common to all three ingredient sets and was selected for structural exploration. Repeated CID–receptor combinations under different herb labels represented the same compound–protein pair.</w:t>
      </w:r>
    </w:p>
    <w:p>
      <w:pPr>
        <w:pStyle w:val="BodyText"/>
      </w:pPr>
      <w:r>
        <w:t xml:space="preserve">The minimum smina scores were −9.12 kcal/mol for CYP3A4 (6UNI) and −9.68 kcal/mol for CaV3.2 (9AYG) (Supplementary Figure S2). The CYP3A4 receptor was prepared without its haem cofactor, while the automatic box reference included both haem and the crystallographic inhibitor. For 9AYG, the box reference contained several non-protein residue types. The displayed poses are therefore treated as exploratory structural outputs.</w:t>
      </w:r>
    </w:p>
    <w:bookmarkEnd w:id="22"/>
    <w:bookmarkStart w:id="23" w:name="discussion"/>
    <w:p>
      <w:pPr>
        <w:pStyle w:val="Heading1"/>
      </w:pPr>
      <w:r>
        <w:t xml:space="preserve">Discussion</w:t>
      </w:r>
    </w:p>
    <w:p>
      <w:pPr>
        <w:pStyle w:val="FirstParagraph"/>
      </w:pPr>
      <w:r>
        <w:t xml:space="preserve">This study linked the selected XYT core herbs to thyroid-disease-associated genes and examined those genes in paired PTC tissue. The functional annotations involved oxidative stress, calcium regulation, and signalling. In GSE60542, XYT and XKC candidates were over-represented among genes altered in tumours, including when the comparison was restricted to measured genes already present in the disease list. The smaller odds ratios under that restricted background show that part of the enrichment depends on the choice of comparator genes. Persistence of the association supports a relationship to the PTC expression profile, while leaving the effects of herbal treatment untested.</w:t>
      </w:r>
    </w:p>
    <w:p>
      <w:pPr>
        <w:pStyle w:val="BodyText"/>
      </w:pPr>
      <w:r>
        <w:t xml:space="preserve">The three gene sets are nested: both individual-herb intersections are contained in XYT. Broader coverage for XYT is therefore expected and cannot establish synergy. Although ZBM enrichment was not statistically significant, it included only 77 measured genes and four differentially expressed genes, giving a wide confidence interval. Its non-significant result does not establish lack of activity or a statistically demonstrated difference from XYT or XKC. Nor do the different overlap percentages or GeneRatios measure treatment effects.</w:t>
      </w:r>
    </w:p>
    <w:p>
      <w:pPr>
        <w:pStyle w:val="BodyText"/>
      </w:pPr>
      <w:r>
        <w:t xml:space="preserve">The oxidative-stress annotations are consistent with the established relevance of redox regulation in thyroid cancer.</w:t>
      </w:r>
      <w:r>
        <w:rPr>
          <w:vertAlign w:val="superscript"/>
        </w:rPr>
        <w:t xml:space="preserve">18</w:t>
      </w:r>
      <w:r>
        <w:t xml:space="preserve"> </w:t>
      </w:r>
      <w:r>
        <w:t xml:space="preserve">Calcium-related annotations also warrant investigation, given experimental evidence linking TRPC1 to thyroid cancer cell migration and proliferation.</w:t>
      </w:r>
      <w:r>
        <w:rPr>
          <w:vertAlign w:val="superscript"/>
        </w:rPr>
        <w:t xml:space="preserve">19</w:t>
      </w:r>
      <w:r>
        <w:t xml:space="preserve"> </w:t>
      </w:r>
      <w:r>
        <w:t xml:space="preserve">However, TRPC1 and CACNA1H encode different channel types, and a shared calcium-related annotation does not connect them mechanistically. The current transcriptome analysis assessed whole candidate sets, not independent activity of each GO or KEGG pathway. Likewise, enrichment of the KEGG thyroid cancer pathway is partly conditioned on the use of a thyroid-tumour gene list to select the inputs.</w:t>
      </w:r>
    </w:p>
    <w:p>
      <w:pPr>
        <w:pStyle w:val="BodyText"/>
      </w:pPr>
      <w:r>
        <w:t xml:space="preserve">The gene-level expression findings warrant a more cautious interpretation than the gene-set results. POLB showed a statistically significant change of less than 0.1 log2 units, whereas CACNA1H and CYP3A4 showed no significant expression difference. Transcript abundance and protein activity are distinct measures, so the next step is functional testing of the proposed interactions. CYP3A4 is involved in vandetanib metabolism,</w:t>
      </w:r>
      <w:r>
        <w:rPr>
          <w:vertAlign w:val="superscript"/>
        </w:rPr>
        <w:t xml:space="preserve">20</w:t>
      </w:r>
      <w:r>
        <w:t xml:space="preserve"> </w:t>
      </w:r>
      <w:r>
        <w:t xml:space="preserve">making drug metabolism another plausible context for its association with herbal compounds. The docking poses offer limited support because CYP3A4 lacked its haem cofactor and the automatic search regions were not validated binding sites.</w:t>
      </w:r>
    </w:p>
    <w:p>
      <w:pPr>
        <w:pStyle w:val="BodyText"/>
      </w:pPr>
      <w:r>
        <w:t xml:space="preserve">Previous β-sitosterol studies provide useful context but concern different experimental systems. Cao and colleagues studied non-small-cell lung cancer,</w:t>
      </w:r>
      <w:r>
        <w:rPr>
          <w:vertAlign w:val="superscript"/>
        </w:rPr>
        <w:t xml:space="preserve">21</w:t>
      </w:r>
      <w:r>
        <w:t xml:space="preserve"> </w:t>
      </w:r>
      <w:r>
        <w:t xml:space="preserve">whereas Chen and colleagues examined Prunella vulgaris components in inflammatory thyrocyte models relevant to Hashimoto’s disease.</w:t>
      </w:r>
      <w:r>
        <w:rPr>
          <w:vertAlign w:val="superscript"/>
        </w:rPr>
        <w:t xml:space="preserve">22</w:t>
      </w:r>
      <w:r>
        <w:t xml:space="preserve"> </w:t>
      </w:r>
      <w:r>
        <w:t xml:space="preserve">Neither study establishes the proposed interactions in PTC. Wnt and Keap1/Nrf2 signalling are relevant to thyroid cancer biology,</w:t>
      </w:r>
      <w:r>
        <w:rPr>
          <w:vertAlign w:val="superscript"/>
        </w:rPr>
        <w:t xml:space="preserve">23,24</w:t>
      </w:r>
      <w:r>
        <w:t xml:space="preserve"> </w:t>
      </w:r>
      <w:r>
        <w:t xml:space="preserve">but their modulation by the selected herbs was not measured here.</w:t>
      </w:r>
    </w:p>
    <w:p>
      <w:pPr>
        <w:pStyle w:val="BodyText"/>
      </w:pPr>
      <w:r>
        <w:t xml:space="preserve">The findings are subject to several limitations. Target assignments combine recorded and predicted associations with different evidence strengths. BindingDB records were integrated without an organism- or affinity-based restriction, which limits interpretation as human therapeutic targets. The broad disease list and annotation-wide GO/KEGG backgrounds may favour well-annotated genes and shared pathways. The disease-restricted transcriptome analysis addressed background choice for expression overlap, while gene correlation and database coverage remain relevant to the functional results. The expression cohort represents PTC, and differences in tissue composition may contribute to the observed changes. The study therefore supports disease associations that require testing in treatment-exposed models with chemically characterised preparations.</w:t>
      </w:r>
    </w:p>
    <w:p>
      <w:pPr>
        <w:pStyle w:val="BodyText"/>
      </w:pPr>
      <w:r>
        <w:t xml:space="preserve">Further work should combine concentration–response experiments, non-malignant controls, and target perturbation with binding or functional assays. Structural follow-up should retain essential cofactors, define the binding site explicitly, and evaluate the docking protocol using a reference ligand.</w:t>
      </w:r>
    </w:p>
    <w:bookmarkEnd w:id="23"/>
    <w:bookmarkStart w:id="24" w:name="conclusion"/>
    <w:p>
      <w:pPr>
        <w:pStyle w:val="Heading1"/>
      </w:pPr>
      <w:r>
        <w:t xml:space="preserve">Conclusion</w:t>
      </w:r>
    </w:p>
    <w:p>
      <w:pPr>
        <w:pStyle w:val="FirstParagraph"/>
      </w:pPr>
      <w:r>
        <w:t xml:space="preserve">XYT and XKC candidate genes were over-represented among genes altered in paired PTC tissue, including against a disease-restricted background. ZBM enrichment was inconclusive, and the three preselected genes did not meet the combined differential-expression criteria. These findings prioritise disease-associated genes for functional studies of the selected herbs.</w:t>
      </w:r>
    </w:p>
    <w:bookmarkEnd w:id="24"/>
    <w:bookmarkStart w:id="25" w:name="conflict-of-interest"/>
    <w:p>
      <w:pPr>
        <w:pStyle w:val="Heading1"/>
      </w:pPr>
      <w:r>
        <w:t xml:space="preserve">Conflict of Interest</w:t>
      </w:r>
    </w:p>
    <w:p>
      <w:pPr>
        <w:pStyle w:val="FirstParagraph"/>
      </w:pPr>
      <w:r>
        <w:t xml:space="preserve">Zhiyu Luo is an employee of Jiangsu Sanshu Biotechnology Co., Ltd. The remaining authors declare no conflicts of interest related to this work.</w:t>
      </w:r>
    </w:p>
    <w:bookmarkEnd w:id="25"/>
    <w:bookmarkStart w:id="26" w:name="funding"/>
    <w:p>
      <w:pPr>
        <w:pStyle w:val="Heading1"/>
      </w:pPr>
      <w:r>
        <w:t xml:space="preserve">Funding</w:t>
      </w:r>
    </w:p>
    <w:p>
      <w:pPr>
        <w:pStyle w:val="FirstParagraph"/>
      </w:pPr>
      <w:r>
        <w:t xml:space="preserve">This work was supported by the Shanghai Clinical Research Center of Traditional Chinese Medicine Oncology, Science and Technology Commission of Shanghai Municipality (21MC1930500). 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The listed funding sources provided support for this work.</w:t>
      </w:r>
    </w:p>
    <w:bookmarkEnd w:id="26"/>
    <w:bookmarkStart w:id="27" w:name="patient-consent"/>
    <w:p>
      <w:pPr>
        <w:pStyle w:val="Heading1"/>
      </w:pPr>
      <w:r>
        <w:t xml:space="preserve">Patient Consent</w:t>
      </w:r>
    </w:p>
    <w:p>
      <w:pPr>
        <w:pStyle w:val="FirstParagraph"/>
      </w:pPr>
      <w:r>
        <w:t xml:space="preserve">The study used publicly available, de-identified GEO data for secondary analysis.</w:t>
      </w:r>
    </w:p>
    <w:bookmarkEnd w:id="27"/>
    <w:bookmarkStart w:id="28" w:name="ethics-approval"/>
    <w:p>
      <w:pPr>
        <w:pStyle w:val="Heading1"/>
      </w:pPr>
      <w:r>
        <w:t xml:space="preserve">Ethics Approval</w:t>
      </w:r>
    </w:p>
    <w:p>
      <w:pPr>
        <w:pStyle w:val="FirstParagraph"/>
      </w:pPr>
      <w:r>
        <w:t xml:space="preserve">This study used database records, molecular structures, and publicly available, de-identified GEO expression data. It involved no new participant recruitment, intervention, or animal experiments.</w:t>
      </w:r>
    </w:p>
    <w:bookmarkEnd w:id="28"/>
    <w:bookmarkStart w:id="29" w:name="author-contributions"/>
    <w:p>
      <w:pPr>
        <w:pStyle w:val="Heading1"/>
      </w:pPr>
      <w:r>
        <w:t xml:space="preserve">Author Contributions</w:t>
      </w:r>
    </w:p>
    <w:p>
      <w:pPr>
        <w:pStyle w:val="FirstParagraph"/>
      </w:pPr>
      <w:r>
        <w:t xml:space="preserve">Tao Li: Data collection; data curation; formal analysis. Jiacai Li: Supervision; writing – review and editing. Yajie Ding: Data curation; writing – review and editing. Zhiyu Luo: Formal analysis. Xing Zhang: Data curation; writing – review and editing. All authors have reviewed and approved the final manuscript.</w:t>
      </w:r>
    </w:p>
    <w:bookmarkEnd w:id="29"/>
    <w:bookmarkStart w:id="30" w:name="data-availability"/>
    <w:p>
      <w:pPr>
        <w:pStyle w:val="Heading1"/>
      </w:pPr>
      <w:r>
        <w:t xml:space="preserve">Data Availability</w:t>
      </w:r>
    </w:p>
    <w:p>
      <w:pPr>
        <w:pStyle w:val="FirstParagraph"/>
      </w:pPr>
      <w:r>
        <w:t xml:space="preserve">Gene lists, sample and pairing manifests, differential-expression results, enrichment tests, and quality-control figures are included in the supplementary material. Expression data and platform annotations are available from GEO under GSE60542 and GPL570. The underlying network-pharmacology data are available from the corresponding author upon reasonable request. Analysis code is not publicly available.</w:t>
      </w:r>
    </w:p>
    <w:bookmarkEnd w:id="30"/>
    <w:bookmarkStart w:id="31" w:name="references"/>
    <w:p>
      <w:pPr>
        <w:pStyle w:val="Heading1"/>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Kong X, Liu C, Zhang Z, Cheng M, Mei Z, Li X, et al. BATMAN-TCM 2.0: an enhanced integrative database for known and predicted interactions between traditional Chinese medicine ingredients and target proteins. Nucleic Acids Res. 2024;52(D1):D1110–20. doi:10.1093/nar/gkad926.</w:t>
      </w:r>
    </w:p>
    <w:p>
      <w:pPr>
        <w:numPr>
          <w:ilvl w:val="0"/>
          <w:numId w:val="1001"/>
        </w:numPr>
      </w:pPr>
      <w:r>
        <w:t xml:space="preserve">Harding SD, Armstrong JF, Faccenda E, Southan C, Alexander SPH, Davenport AP, et al. The IUPHAR/BPS Guide to PHARMACOLOGY in 2024. Nucleic Acids Res. 2024;52(D1):D1438–49. doi:10.1093/nar/gkad944.</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1"/>
    <w:sectPr>
      <w:footnotePr>
        <w:numRestart w:val="eachSect"/>
      </w:footnotePr>
      <w:pgSz w:w="11909" w:h="16834"/>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rPr>
  </w:style>
  <w:style w:styleId="BodyText" w:type="paragraph">
    <w:name w:val="Body Text"/>
    <w:basedOn w:val="Normal"/>
    <w:link w:val="BodyTextChar"/>
    <w:qFormat/>
    <w:pPr>
      <w:spacing w:after="180" w:before="180" w:line="48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2026-10-25T06:05:52Z</dcterms:created>
  <dcterms:modified xsi:type="dcterms:W3CDTF">2026-10-25T06:05:52Z</dcterms:modified>
</cp:coreProperties>
</file>

<file path=docProps/custom.xml><?xml version="1.0" encoding="utf-8"?>
<Properties xmlns="http://schemas.openxmlformats.org/officeDocument/2006/custom-properties" xmlns:vt="http://schemas.openxmlformats.org/officeDocument/2006/docPropsVTypes"/>
</file>