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upplementary-figures"/>
    <w:p>
      <w:pPr>
        <w:pStyle w:val="Heading1"/>
      </w:pPr>
      <w:r>
        <w:t xml:space="preserve">Supplementary figures</w:t>
      </w:r>
    </w:p>
    <w:p>
      <w:pPr>
        <w:pStyle w:val="FirstParagraph"/>
      </w:pPr>
      <w:r>
        <w:t xml:space="preserve">Original manuscript Figure 1 is Supplementary Figure S1; original Figure 5 is Supplementary Figure S2. Main Figures 1–3 correspond to original Figures 2–4.</w:t>
      </w:r>
    </w:p>
    <w:p>
      <w:pPr>
        <w:pStyle w:val="BodyText"/>
      </w:pPr>
      <w:r>
        <w:drawing>
          <wp:inline>
            <wp:extent cx="5334000" cy="1777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data1/zhiyu/data/Github/Li_Project/Thyroid_TCM/edit.Paper/output/20261024_03_support/20261024_Figure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S1:</w:t>
      </w:r>
      <w:r>
        <w:t xml:space="preserve"> </w:t>
      </w:r>
      <w:r>
        <w:t xml:space="preserve">Gene-set intersections for ZBM, XKC, and the XYT core-herb set. Shared disease genes total 78, 842, and 1,595, respectively. All comparisons use the same 12,987-gene disease set. Circle areas are schematic and are not proportional to set sizes. XYT denotes the core herbs selected from Xiao Ying Tang for thyroid disease.</w:t>
      </w:r>
    </w:p>
    <w:p>
      <w:pPr>
        <w:pStyle w:val="BodyText"/>
      </w:pPr>
      <w:r>
        <w:drawing>
          <wp:inline>
            <wp:extent cx="5334000" cy="391351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data1/zhiyu/data/Github/Li_Project/Thyroid_TCM/edit.Paper/output/20261025_04_review_support/20261025_Figure5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3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S2:</w:t>
      </w:r>
      <w:r>
        <w:t xml:space="preserve"> </w:t>
      </w:r>
      <w:r>
        <w:t xml:space="preserve">Exploratory docking poses of β-sitosterol (CID 222284). (A) Human CYP3A4 (PDB 6UNI); (B) human CaV3.2/CACNA1H (PDB 9AYG). Left panels show the local view of the docked ligand (green sticks) and surrounding residues; right panels show the global receptor view. Poses correspond to the minimum supplementary smina scores of −9.12 and −9.68 kcal/mol, respectively. The poses should be interpreted in light of the receptor-preparation and search-region limitations described in the text.</w:t>
      </w:r>
    </w:p>
    <w:bookmarkEnd w:id="15"/>
    <w:sectPr>
      <w:footnotePr>
        <w:numRestart w:val="eachSect"/>
      </w:footnotePr>
      <w:pgSz w:w="11909" w:h="16834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2026-10-25T05:56:15Z</dcterms:created>
  <dcterms:modified xsi:type="dcterms:W3CDTF">2026-10-25T05:56:15Z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