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Editor-in-Chief,</w:t>
      </w:r>
    </w:p>
    <w:p>
      <w:pPr>
        <w:pStyle w:val="BodyText"/>
      </w:pPr>
      <w:r>
        <w:t xml:space="preserve">Please consider our manuscript,</w:t>
      </w:r>
      <w:r>
        <w:t xml:space="preserve"> </w:t>
      </w:r>
      <w:r>
        <w:t xml:space="preserve">“Network Pharmacology of Xiao Ying Tang Core Herbs with Transcriptomic Assessment in Papillary Thyroid Carcinoma”</w:t>
      </w:r>
      <w:r>
        <w:t xml:space="preserve">, for publication as a Research Article in Combinatorial Chemistry &amp; High Throughput Screening.</w:t>
      </w:r>
    </w:p>
    <w:p>
      <w:pPr>
        <w:pStyle w:val="BodyText"/>
      </w:pPr>
      <w:r>
        <w:t xml:space="preserve">The study links core herbs selected from Xiao Ying Tang to thyroid-disease-associated genes and evaluates the resulting candidate sets in two independent papillary thyroid carcinoma cohorts. Matched tumour and normal thyroid tissue from 24 patients in GSE60542 and 44 patients in GSE33630 were analysed separately with paired models, and candidate-set enrichment was tested against both the full measured-gene background and a disease-restricted background.</w:t>
      </w:r>
    </w:p>
    <w:p>
      <w:pPr>
        <w:pStyle w:val="BodyText"/>
      </w:pPr>
      <w:r>
        <w:t xml:space="preserve">XYT- and Xia Ku Cao-associated genes were over-represented among differentially expressed genes under both backgrounds in both cohorts. Of the 666 differential-expression findings in GSE60542, 536 met the same criteria with concordant direction in GSE33630. Eighty-three XYT candidate genes met the criteria in both cohorts; replicated examples included down-regulation of the thyroid-differentiation markers DIO1 and TPO. The smaller Zhe Bei Mu set was not significantly enriched, and none of the three genes highlighted by the original structural screen met the combined differential-expression criteria. We report these findings as disease associations that guide functional investigation, without claiming treatment efficacy or herb synergy.</w:t>
      </w:r>
    </w:p>
    <w:p>
      <w:pPr>
        <w:pStyle w:val="BodyText"/>
      </w:pPr>
      <w:r>
        <w:t xml:space="preserve">AI assistance with final manuscript preparation is disclosed in the Methods. The manuscript follows the journal’s structure, with a structured abstract, eight keywords, and a graphical abstract enclosed as a separate file. Supplementary gene lists, expression results, sample manifests, enrichment results and supporting illustrations accompany the submission. The work uses public, de-identified data and involved no new participant recruitment or intervention.</w:t>
      </w:r>
    </w:p>
    <w:p>
      <w:pPr>
        <w:pStyle w:val="BodyText"/>
      </w:pPr>
      <w:r>
        <w:t xml:space="preserve">The manuscript is original, has not been published previously, and is not under consideration by any other journal. All authors have reviewed and approved the manuscript and agree with its submission. Funding, author contributions and conflicts of interest are disclosed in the manuscript.</w:t>
      </w:r>
    </w:p>
    <w:p>
      <w:pPr>
        <w:pStyle w:val="BodyText"/>
      </w:pPr>
      <w:r>
        <w:t xml:space="preserve">Thank you for considering this work.</w:t>
      </w:r>
    </w:p>
    <w:p>
      <w:pPr>
        <w:pStyle w:val="BodyText"/>
      </w:pPr>
      <w:r>
        <w:t xml:space="preserve">Yours sincerely,</w:t>
      </w:r>
    </w:p>
    <w:p>
      <w:pPr>
        <w:pStyle w:val="BodyText"/>
      </w:pPr>
      <w:r>
        <w:t xml:space="preserve">Jiacai Li</w:t>
      </w:r>
    </w:p>
    <w:p>
      <w:pPr>
        <w:pStyle w:val="BodyText"/>
      </w:pPr>
      <w:r>
        <w:t xml:space="preserve">Practical Teaching Center, Shanghai University of Medicine &amp; Health Sciences, Shanghai, China</w:t>
      </w:r>
    </w:p>
    <w:p>
      <w:pPr>
        <w:pStyle w:val="BodyText"/>
      </w:pPr>
      <w:r>
        <w:t xml:space="preserve">Corresponding author: Xing Zhang, Department of Respiratory Disease, Shuguang Hospital Affiliated to Shanghai University of Traditional Chinese Medicine, Shanghai 201203, China. Email: zhangxing2012@shutcm.edu.cn</w:t>
      </w:r>
    </w:p>
    <w:sectPr>
      <w:footerReference w:type="default" r:id="rId9"/>
      <w:footnotePr>
        <w:numRestart w:val="eachSect"/>
      </w:footnotePr>
      <w:pgMar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0"/>
    </w:rPr>
  </w:style>
  <w:style w:styleId="BodyText" w:type="paragraph">
    <w:name w:val="Body Text"/>
    <w:basedOn w:val="Normal"/>
    <w:link w:val="BodyTextChar"/>
    <w:qFormat/>
    <w:pPr>
      <w:spacing w:after="180" w:before="180"/>
    </w:pPr>
    <w:rPr>
      <w:rFonts w:ascii="Times New Roman" w:hAnsi="Times New Roman"/>
      <w:color w:val="000000"/>
      <w:sz w:val="20"/>
    </w:rPr>
  </w:style>
  <w:style w:customStyle="1" w:styleId="FirstParagraph" w:type="paragraph">
    <w:name w:val="First Paragraph"/>
    <w:basedOn w:val="BodyText"/>
    <w:next w:val="BodyText"/>
    <w:qFormat/>
    <w:rPr>
      <w:rFonts w:ascii="Times New Roman" w:hAnsi="Times New Roman"/>
      <w:color w:val="000000"/>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b/>
      <w:color w:val="000000"/>
      <w:sz w:val="2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2026-10-27T06:23:36Z</dcterms:created>
  <dcterms:modified xsi:type="dcterms:W3CDTF">2026-10-27T06:23:36Z</dcterms:modified>
</cp:coreProperties>
</file>

<file path=docProps/custom.xml><?xml version="1.0" encoding="utf-8"?>
<Properties xmlns="http://schemas.openxmlformats.org/officeDocument/2006/custom-properties" xmlns:vt="http://schemas.openxmlformats.org/officeDocument/2006/docPropsVTypes"/>
</file>