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rFonts w:hint="eastAsia"/>
        </w:rPr>
        <w:t xml:space="preserve">尊敬的编辑：</w:t>
      </w:r>
    </w:p>
    <w:p>
      <w:pPr>
        <w:pStyle w:val="BodyText"/>
      </w:pPr>
      <w:r>
        <w:rPr>
          <w:rFonts w:hint="eastAsia"/>
        </w:rPr>
        <w:t xml:space="preserve">您好！</w:t>
      </w:r>
    </w:p>
    <w:p>
      <w:pPr>
        <w:pStyle w:val="BodyText"/>
      </w:pPr>
      <w:r>
        <w:rPr>
          <w:rFonts w:hint="eastAsia"/>
        </w:rPr>
        <w:t xml:space="preserve">请考虑将我们的稿件”Network</w:t>
      </w:r>
      <w:r>
        <w:t xml:space="preserve"> Pharmacology of Xiao Ying Tang Core Herbs with Transcriptomic Assessment in Papillary Thyroid </w:t>
      </w:r>
      <w:r>
        <w:rPr>
          <w:rFonts w:hint="eastAsia"/>
        </w:rPr>
        <w:t xml:space="preserve">Carcinoma”（消瘿汤核心药组的网络药理学及甲状腺乳头状癌转录组评估）作为原创研究论文（Research</w:t>
      </w:r>
      <w:r>
        <w:t xml:space="preserve"> </w:t>
      </w:r>
      <w:r>
        <w:rPr>
          <w:rFonts w:hint="eastAsia"/>
        </w:rPr>
        <w:t xml:space="preserve">Article）投稿至</w:t>
      </w:r>
      <w:r>
        <w:t xml:space="preserve"> Combinatorial Chemistry &amp; High Throughput Screening。</w:t>
      </w:r>
    </w:p>
    <w:p>
      <w:pPr>
        <w:pStyle w:val="BodyText"/>
      </w:pPr>
      <w:r>
        <w:rPr>
          <w:rFonts w:hint="eastAsia"/>
        </w:rPr>
        <w:t xml:space="preserve">本研究将消瘿汤核心药组与甲状腺疾病相关基因建立关联，并在两个独立的甲状腺乳头状癌队列中评估所得候选基因集合。分析纳入</w:t>
      </w:r>
      <w:r>
        <w:t xml:space="preserve"> GSE60542 </w:t>
      </w:r>
      <w:r>
        <w:rPr>
          <w:rFonts w:hint="eastAsia"/>
        </w:rPr>
        <w:t xml:space="preserve">的</w:t>
      </w:r>
      <w:r>
        <w:t xml:space="preserve"> 24 </w:t>
      </w:r>
      <w:r>
        <w:rPr>
          <w:rFonts w:hint="eastAsia"/>
        </w:rPr>
        <w:t xml:space="preserve">例患者和</w:t>
      </w:r>
      <w:r>
        <w:t xml:space="preserve"> GSE33630 </w:t>
      </w:r>
      <w:r>
        <w:rPr>
          <w:rFonts w:hint="eastAsia"/>
        </w:rPr>
        <w:t xml:space="preserve">的</w:t>
      </w:r>
      <w:r>
        <w:t xml:space="preserve"> 44 </w:t>
      </w:r>
      <w:r>
        <w:rPr>
          <w:rFonts w:hint="eastAsia"/>
        </w:rPr>
        <w:t xml:space="preserve">例患者的配对肿瘤与正常甲状腺组织，分别采用配对模型分析；候选集合富集检验分别以全部可测基因和疾病限制基因为背景进行。</w:t>
      </w:r>
    </w:p>
    <w:p>
      <w:pPr>
        <w:pStyle w:val="BodyText"/>
      </w:pPr>
      <w:r>
        <w:t xml:space="preserve">XYT </w:t>
      </w:r>
      <w:r>
        <w:rPr>
          <w:rFonts w:hint="eastAsia"/>
        </w:rPr>
        <w:t xml:space="preserve">和夏枯草（Xia</w:t>
      </w:r>
      <w:r>
        <w:t xml:space="preserve"> Ku </w:t>
      </w:r>
      <w:r>
        <w:rPr>
          <w:rFonts w:hint="eastAsia"/>
        </w:rPr>
        <w:t xml:space="preserve">Cao）关联基因在两种背景下、两个队列的差异表达基因中均显著富集。GSE60542</w:t>
      </w:r>
      <w:r>
        <w:t xml:space="preserve"> </w:t>
      </w:r>
      <w:r>
        <w:rPr>
          <w:rFonts w:hint="eastAsia"/>
        </w:rPr>
        <w:t xml:space="preserve">的</w:t>
      </w:r>
      <w:r>
        <w:t xml:space="preserve"> 666 </w:t>
      </w:r>
      <w:r>
        <w:rPr>
          <w:rFonts w:hint="eastAsia"/>
        </w:rPr>
        <w:t xml:space="preserve">个差异表达结果中，536</w:t>
      </w:r>
      <w:r>
        <w:t xml:space="preserve"> </w:t>
      </w:r>
      <w:r>
        <w:rPr>
          <w:rFonts w:hint="eastAsia"/>
        </w:rPr>
        <w:t xml:space="preserve">个在</w:t>
      </w:r>
      <w:r>
        <w:t xml:space="preserve"> GSE33630 </w:t>
      </w:r>
      <w:r>
        <w:rPr>
          <w:rFonts w:hint="eastAsia"/>
        </w:rPr>
        <w:t xml:space="preserve">中以相同方向再次达到相同标准。其中</w:t>
      </w:r>
      <w:r>
        <w:t xml:space="preserve"> 83 </w:t>
      </w:r>
      <w:r>
        <w:rPr>
          <w:rFonts w:hint="eastAsia"/>
        </w:rPr>
        <w:t xml:space="preserve">个</w:t>
      </w:r>
      <w:r>
        <w:t xml:space="preserve"> XYT </w:t>
      </w:r>
      <w:r>
        <w:rPr>
          <w:rFonts w:hint="eastAsia"/>
        </w:rPr>
        <w:t xml:space="preserve">候选基因在两个队列均达到标准，复制结果的示例包括甲状腺分化标志物</w:t>
      </w:r>
      <w:r>
        <w:t xml:space="preserve"> DIO1 </w:t>
      </w:r>
      <w:r>
        <w:rPr>
          <w:rFonts w:hint="eastAsia"/>
        </w:rPr>
        <w:t xml:space="preserve">和</w:t>
      </w:r>
      <w:r>
        <w:t xml:space="preserve"> TPO </w:t>
      </w:r>
      <w:r>
        <w:rPr>
          <w:rFonts w:hint="eastAsia"/>
        </w:rPr>
        <w:t xml:space="preserve">的下调。规模较小的浙贝母（Zhe</w:t>
      </w:r>
      <w:r>
        <w:t xml:space="preserve"> Bei </w:t>
      </w:r>
      <w:r>
        <w:rPr>
          <w:rFonts w:hint="eastAsia"/>
        </w:rPr>
        <w:t xml:space="preserve">Mu）集合富集不显著，三个单独考察的基因均未达到联合差异表达标准。我们将这些发现作为疾病关联进行报告，用以指导后续功能研究，不主张治疗效果或药物协同作用。</w:t>
      </w:r>
    </w:p>
    <w:p>
      <w:pPr>
        <w:pStyle w:val="BodyText"/>
      </w:pPr>
      <w:r>
        <w:rPr>
          <w:rFonts w:hint="eastAsia"/>
        </w:rPr>
        <w:t xml:space="preserve">稿件已按贵刊结构编排，包含结构化摘要、8</w:t>
      </w:r>
      <w:r>
        <w:t xml:space="preserve"> </w:t>
      </w:r>
      <w:r>
        <w:rPr>
          <w:rFonts w:hint="eastAsia"/>
        </w:rPr>
        <w:t xml:space="preserve">个关键词，图形摘要作为单独文件随稿提交。补充材料包括基因列表、表达结果、样本清单、富集结果及辅助图件。本研究使用公开的去标识化数据，不涉及新的受试者招募或干预。</w:t>
      </w:r>
    </w:p>
    <w:p>
      <w:pPr>
        <w:pStyle w:val="BodyText"/>
      </w:pPr>
      <w:r>
        <w:rPr>
          <w:rFonts w:hint="eastAsia"/>
        </w:rPr>
        <w:t xml:space="preserve">本稿件为原创，未曾发表，且未同时投往其他期刊。全体作者均已审阅并批准本稿件，同意投稿。基金资助、作者贡献和利益冲突已在稿件中声明。</w:t>
      </w:r>
    </w:p>
    <w:p>
      <w:pPr>
        <w:pStyle w:val="BodyText"/>
      </w:pPr>
      <w:r>
        <w:rPr>
          <w:rFonts w:hint="eastAsia"/>
        </w:rPr>
        <w:t xml:space="preserve">感谢您考虑本项工作。</w:t>
      </w:r>
    </w:p>
    <w:p>
      <w:pPr>
        <w:pStyle w:val="BodyText"/>
      </w:pPr>
      <w:r>
        <w:rPr>
          <w:rFonts w:hint="eastAsia"/>
        </w:rPr>
        <w:t xml:space="preserve">此致</w:t>
      </w:r>
    </w:p>
    <w:p>
      <w:pPr>
        <w:pStyle w:val="BodyText"/>
      </w:pPr>
      <w:r>
        <w:rPr>
          <w:rFonts w:hint="eastAsia"/>
        </w:rPr>
        <w:t xml:space="preserve">敬礼！</w:t>
      </w:r>
    </w:p>
    <w:p>
      <w:pPr>
        <w:pStyle w:val="BodyText"/>
      </w:pPr>
      <w:r>
        <w:t xml:space="preserve">Jiacai Li</w:t>
      </w:r>
    </w:p>
    <w:p>
      <w:pPr>
        <w:pStyle w:val="BodyText"/>
      </w:pPr>
      <w:r>
        <w:t xml:space="preserve">Practical Teaching Center, Shanghai University of Medicine &amp; Health Sciences, Shanghai, China</w:t>
      </w:r>
    </w:p>
    <w:p>
      <w:pPr>
        <w:pStyle w:val="BodyText"/>
      </w:pPr>
      <w:r>
        <w:rPr>
          <w:rFonts w:hint="eastAsia"/>
        </w:rPr>
        <w:t xml:space="preserve">通讯作者：Xing</w:t>
      </w:r>
      <w:r>
        <w:t xml:space="preserve"> Zhang, Department of Respiratory Disease, Shuguang Hospital Affiliated to Shanghai University of Traditional Chinese Medicine, Shanghai 201203, China. Email: zhangxing2012@shutcm.edu.cn</w:t>
      </w:r>
    </w:p>
    <w:sectPr>
      <w:footerReference w:type="default" r:id="rId9"/>
      <w:footnotePr>
        <w:numRestart w:val="eachSect"/>
      </w:footnotePr>
      <w:pgMar w:top="1152" w:bottom="1152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hAnsi="Times New Roman"/>
      <w:color w:val="000000"/>
      <w:sz w:val="20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Times New Roman" w:hAnsi="Times New Roman"/>
      <w:color w:val="000000"/>
      <w:sz w:val="20"/>
    </w:rPr>
  </w:style>
  <w:style w:customStyle="1" w:styleId="FirstParagraph" w:type="paragraph">
    <w:name w:val="First Paragraph"/>
    <w:basedOn w:val="BodyText"/>
    <w:next w:val="BodyText"/>
    <w:qFormat/>
    <w:rPr>
      <w:rFonts w:ascii="Times New Roman" w:hAnsi="Times New Roman"/>
      <w:color w:val="000000"/>
      <w:sz w:val="20"/>
    </w:rPr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 w:ascii="Times New Roman" w:hAnsi="Times New Roman"/>
      <w:b/>
      <w:color w:val="000000"/>
      <w:sz w:val="20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 w:ascii="Times New Roman" w:hAnsi="Times New Roman"/>
      <w:b/>
      <w:color w:val="000000"/>
      <w:sz w:val="2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 w:ascii="Times New Roman" w:hAnsi="Times New Roman"/>
      <w:b/>
      <w:color w:val="000000"/>
      <w:sz w:val="20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 w:ascii="Times New Roman" w:hAnsi="Times New Roman"/>
      <w:b/>
      <w:color w:val="000000"/>
      <w:sz w:val="20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2026-10-27T06:23:36Z</dcterms:created>
  <dcterms:modified xsi:type="dcterms:W3CDTF">2026-10-27T06:23:36Z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