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plementary-figures"/>
    <w:p>
      <w:pPr>
        <w:pStyle w:val="Heading1"/>
      </w:pPr>
      <w:r>
        <w:t xml:space="preserve">Supplementary Figures</w:t>
      </w:r>
    </w:p>
    <w:p>
      <w:pPr>
        <w:pStyle w:val="FirstParagraph"/>
      </w:pPr>
      <w:r>
        <w:t xml:space="preserve">Network Pharmacology of Xiao Ying Tang Core Herbs with Transcriptomic Assessment in Papillary Thyroid Carcinoma</w:t>
      </w:r>
    </w:p>
    <w:p>
      <w:pPr>
        <w:pStyle w:val="BodyText"/>
        <w:keepNext/>
      </w:pPr>
      <w:r>
        <w:drawing>
          <wp:inline>
            <wp:extent cx="5334000" cy="1778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9_figures/Supplementary_Figure_S1_gene_overl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Lines/>
      </w:pPr>
      <w:r>
        <w:rPr>
          <w:b/>
          <w:bCs/>
        </w:rPr>
        <w:t xml:space="preserve">Supplementary Figure S1:</w:t>
      </w:r>
      <w:r>
        <w:t xml:space="preserve"> </w:t>
      </w:r>
      <w:r>
        <w:t xml:space="preserve">Gene-set intersections for ZBM, XKC and the XYT herb set. Disease-overlapping genes total 78, 842 and 1,595, respectively. All comparisons use the same 12,987-gene disease list. Circle areas are schematic and are not proportional to set sizes. XYT denotes the database-derived herb inventory defined in the Methods, not a chemically characterised preparation.</w:t>
      </w:r>
    </w:p>
    <w:p>
      <w:pPr>
        <w:pStyle w:val="BodyText"/>
        <w:keepNext/>
        <w:pageBreakBefore/>
      </w:pPr>
      <w:r>
        <w:drawing>
          <wp:inline>
            <wp:extent cx="5334000" cy="391351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9_figures/Supplementary_Figure_S2_dockin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Lines/>
      </w:pPr>
      <w:r>
        <w:rPr>
          <w:b/>
          <w:bCs/>
        </w:rPr>
        <w:t xml:space="preserve">Supplementary Figure S2:</w:t>
      </w:r>
      <w:r>
        <w:t xml:space="preserve"> </w:t>
      </w:r>
      <w:r>
        <w:t xml:space="preserve">Exploratory docking outputs for β-sitosterol (CID 222284). (A) Human CYP3A4 (PDB 6UNI); (B) human CaV3.2/CACNA1H (PDB 9AYG). Left panels show the ligand (green sticks) and surrounding residues; right panels show the receptor overview. Poses correspond to minimum smina scores of −9.12 and −9.68 kcal/mol, respectively. CYP3A4 was prepared without haem, although the autobox reference contained both haem and inhibitor; the 9AYG reference included several non-protein residue types. Binding sites and docking accuracy were not validated. Scores are computational outputs, not measured binding energies, and cannot establish specific binding or relative affinity across receptors.</w:t>
      </w:r>
    </w:p>
    <w:p>
      <w:pPr>
        <w:pStyle w:val="BodyText"/>
        <w:keepNext/>
        <w:pageBreakBefore/>
      </w:pPr>
      <w:r>
        <w:drawing>
          <wp:inline>
            <wp:extent cx="5334000" cy="166182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9_figures/Supplementary_Figure_S3_GSE3363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Lines/>
      </w:pPr>
      <w:r>
        <w:rPr>
          <w:b/>
          <w:bCs/>
        </w:rPr>
        <w:t xml:space="preserve">Supplementary Figure S3:</w:t>
      </w:r>
      <w:r>
        <w:t xml:space="preserve"> </w:t>
      </w:r>
      <w:r>
        <w:t xml:space="preserve">Independent expression replication in GSE33630 (44 matched patients). (A) Paired-limma differential expression, with Benjamini–Hochberg-adjusted P &lt;0.05 and |log2FC| ≥1. (B) Candidate-set enrichment against all 20,848 measured genes or 10,655 disease-associated measured genes. Points show conditional odds ratios; bars show two-sided exact 95% confidence intervals. q labels are adjusted P values from six one-sided Fisher tests in this cohort. (C) Gene-level log2 fold changes across cohorts; blue points mark the 666 genes meeting the differential-expression criteria in GSE60542. Of these, 664 agreed in direction and 536 met the same criteria with concordant direction in GSE33630. Spearman correlation uses all 20,848 genes. Gene-set replication indicates disease association, not response to herbal treatment.</w:t>
      </w:r>
    </w:p>
    <w:bookmarkEnd w:id="18"/>
    <w:sectPr>
      <w:footerReference w:type="default" r:id="rId10"/>
      <w:footnotePr>
        <w:numRestart w:val="eachSect"/>
      </w:footnotePr>
      <w:pgMar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2026-10-27T06:23:37Z</dcterms:created>
  <dcterms:modified xsi:type="dcterms:W3CDTF">2026-10-27T06:23:37Z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