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Practical Teaching Center,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bookmarkEnd w:id="9"/>
    <w:bookmarkStart w:id="10" w:name="abstract"/>
    <w:p>
      <w:pPr>
        <w:pStyle w:val="Heading1"/>
      </w:pPr>
      <w:r>
        <w:t xml:space="preserve">Abstract</w:t>
      </w:r>
    </w:p>
    <w:p>
      <w:pPr>
        <w:pStyle w:val="FirstParagraph"/>
      </w:pPr>
      <w:r>
        <w:rPr>
          <w:b/>
          <w:bCs/>
        </w:rPr>
        <w:t xml:space="preserve">Background:</w:t>
      </w:r>
      <w:r>
        <w:t xml:space="preserve"> </w:t>
      </w:r>
      <w:r>
        <w:t xml:space="preserve">Network pharmacology links herbal constituents to disease-associated genes, but candidate mechanisms drawn from broad databases need testing in a defined tumour context.</w:t>
      </w:r>
    </w:p>
    <w:p>
      <w:pPr>
        <w:pStyle w:val="BodyText"/>
      </w:pPr>
      <w:r>
        <w:rPr>
          <w:b/>
          <w:bCs/>
        </w:rPr>
        <w:t xml:space="preserve">Objective:</w:t>
      </w:r>
      <w:r>
        <w:t xml:space="preserve"> </w:t>
      </w:r>
      <w:r>
        <w:t xml:space="preserve">This study characterised the genes associated with core herbs selected from Xiao Ying Tang (XYT) and examined their expression in two independent papillary thyroid carcinoma (PTC) cohorts.</w:t>
      </w:r>
    </w:p>
    <w:p>
      <w:pPr>
        <w:pStyle w:val="BodyText"/>
      </w:pPr>
      <w:r>
        <w:rPr>
          <w:b/>
          <w:bCs/>
        </w:rPr>
        <w:t xml:space="preserve">Methods:</w:t>
      </w:r>
      <w:r>
        <w:t xml:space="preserve"> </w:t>
      </w:r>
      <w:r>
        <w:t xml:space="preserve">Genes associated with XYT, Zhe Bei Mu (ZBM) and Xia Ku Cao (XKC) were intersected with a GeneCards disease list and subjected to functional enrichment analysis. Paired limma models were fitted for 24 patients in GSE60542 and 44 in GSE33630, with differential expression called at Benjamini–Hochberg-adjusted P &lt;0.05 and |log2 fold change| ≥1. Candidate-set enrichment was tested against both the full measured background and the disease-associated subset.</w:t>
      </w:r>
    </w:p>
    <w:p>
      <w:pPr>
        <w:pStyle w:val="BodyText"/>
      </w:pPr>
      <w:r>
        <w:rPr>
          <w:b/>
          <w:bCs/>
        </w:rPr>
        <w:t xml:space="preserve">Results:</w:t>
      </w:r>
      <w:r>
        <w:t xml:space="preserve"> </w:t>
      </w:r>
      <w:r>
        <w:t xml:space="preserve">The disease intersections comprised 78 ZBM, 842 XKC and 1,595 XYT genes. Of the 20,848 genes measured in each cohort, 666 in GSE60542 and 745 in GSE33630 met the differential-expression criteria. XYT and XKC were enriched in both cohorts; against disease-restricted backgrounds the odds ratios were 1.80 and 2.08 in GSE60542 and 1.59 and 1.80 in GSE33630, with all adjusted P values below 0.001. Among the 666 initial findings, 664 changed in the same direction in GSE33630 and 536 again met the full criteria, including 83 XYT candidate genes such as the thyroid-differentiation markers DIO1 and TPO. ZBM showed no significant enrichment. POLB, CACNA1H and CYP3A4 met the combined criteria in neither cohort.</w:t>
      </w:r>
    </w:p>
    <w:p>
      <w:pPr>
        <w:pStyle w:val="BodyText"/>
      </w:pPr>
      <w:r>
        <w:rPr>
          <w:b/>
          <w:bCs/>
        </w:rPr>
        <w:t xml:space="preserve">Conclusion:</w:t>
      </w:r>
      <w:r>
        <w:t xml:space="preserve"> </w:t>
      </w:r>
      <w:r>
        <w:t xml:space="preserve">XYT- and XKC-associated genes were reproducibly enriched among the genes altered in PTC tissue, and 83 XYT candidate genes, including the thyroid-differentiation markers DIO1 and TPO, met the differential-expression criteria in both cohorts. These disease associations nominate candidates for functional investigation.</w:t>
      </w:r>
    </w:p>
    <w:p>
      <w:pPr>
        <w:pStyle w:val="BodyText"/>
      </w:pPr>
      <w:r>
        <w:rPr>
          <w:b/>
          <w:bCs/>
        </w:rPr>
        <w:t xml:space="preserve">Keywords:</w:t>
      </w:r>
      <w:r>
        <w:t xml:space="preserve"> </w:t>
      </w:r>
      <w:r>
        <w:t xml:space="preserve">Xiao Ying Tang; network pharmacology; papillary thyroid carcinoma; transcriptome; molecular docking; traditional Chinese medicine; differential expression; beta-sitosterol.</w:t>
      </w:r>
    </w:p>
    <w:bookmarkEnd w:id="10"/>
    <w:bookmarkStart w:id="11" w:name="introduction"/>
    <w:p>
      <w:pPr>
        <w:pStyle w:val="Heading1"/>
      </w:pPr>
      <w:r>
        <w:t xml:space="preserve">Introduction</w:t>
      </w:r>
    </w:p>
    <w:p>
      <w:pPr>
        <w:pStyle w:val="FirstParagraph"/>
      </w:pPr>
      <w:r>
        <w:t xml:space="preserve">Thyroid cancer is not a single disease but a group of malignancies with distinct molecular features and clinical courses [1]. Surgery forms the basis of care for differentiated thyroid cancer, supplemented by radioactive iodine in selected patients and by thyroid hormone management [2]. Persistent or treatment-resistant disease nevertheless remains a clinical problem, which has prompted interest in additional therapeutic approaches. Because the molecular drivers differ between subtypes, candidate mechanisms drawn from broad disease databases still need to be checked in a defined tumour context [3].</w:t>
      </w:r>
    </w:p>
    <w:p>
      <w:pPr>
        <w:pStyle w:val="BodyText"/>
      </w:pPr>
      <w:r>
        <w:t xml:space="preserve">Network pharmacology offers a way to connect herbal constituents with genes and biological processes. The approach is most useful for generating testable hypotheses, although the gene sets it produces are sensitive to database coverage and to how predicted interactions are handled. An external tumour-expression dataset can then show whether those genes are actually altered in disease tissue, even though it cannot say whether they respond to herbal treatment.</w:t>
      </w:r>
    </w:p>
    <w:p>
      <w:pPr>
        <w:pStyle w:val="BodyText"/>
      </w:pPr>
      <w:r>
        <w:t xml:space="preserve">Here we examined core herbs selected from Xiao Ying Tang for their relevance to thyroid disease; XYT denotes this selected set throughout. Zhe Bei Mu (ZBM; Fritillariae Thunbergii Bulbus) and Xia Ku Cao (XKC; Prunellae Spica) were analysed separately so that their contributions to the wider annotation profile could be seen. After comparing compound-associated gene coverage and functional annotations, we tested the fixed candidate sets in paired papillary thyroid carcinoma (PTC) and normal thyroid samples from two independent cohorts. Exploratory docking of β-sitosterol was added to probe candidate compound–protein interactions.</w:t>
      </w:r>
    </w:p>
    <w:bookmarkEnd w:id="11"/>
    <w:bookmarkStart w:id="15" w:name="materials-and-methods"/>
    <w:p>
      <w:pPr>
        <w:pStyle w:val="Heading1"/>
      </w:pPr>
      <w:r>
        <w:t xml:space="preserve">Materials and Methods</w:t>
      </w:r>
    </w:p>
    <w:p>
      <w:pPr>
        <w:pStyle w:val="FirstParagraph"/>
      </w:pPr>
      <w:r>
        <w:t xml:space="preserve">The analysis brought together herb–compound and compound–gene data, functional enrichment, paired tumour-expression profiles and exploratory molecular docking; Figure 1 summarises the overall workflow.</w:t>
      </w:r>
    </w:p>
    <w:p>
      <w:pPr>
        <w:pStyle w:val="BodyText"/>
      </w:pPr>
      <w:r>
        <w:drawing>
          <wp:inline>
            <wp:extent cx="5334000" cy="5277595"/>
            <wp:effectExtent b="0" l="0" r="0" t="0"/>
            <wp:docPr descr="" title="" id="13" name="Picture"/>
            <a:graphic>
              <a:graphicData uri="http://schemas.openxmlformats.org/drawingml/2006/picture">
                <pic:pic>
                  <pic:nvPicPr>
                    <pic:cNvPr descr="09_figures/Figure_1_workflow.png" id="14" name="Picture"/>
                    <pic:cNvPicPr>
                      <a:picLocks noChangeArrowheads="1" noChangeAspect="1"/>
                    </pic:cNvPicPr>
                  </pic:nvPicPr>
                  <pic:blipFill>
                    <a:blip r:embed="rId12"/>
                    <a:stretch>
                      <a:fillRect/>
                    </a:stretch>
                  </pic:blipFill>
                  <pic:spPr bwMode="auto">
                    <a:xfrm>
                      <a:off x="0" y="0"/>
                      <a:ext cx="5334000" cy="5277595"/>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Technical route of the study. TCMSP herb–ingredient records were mapped to PubChem compound identifiers (CIDs); compound-associated genes from BindingDB, BATMAN-TCM and the IUPHAR/BPS Guide to PHARMACOLOGY were then intersected with 12,987 GeneCards thyroid-tumour-associated genes, giving the ZBM, XKC and XYT candidate sets. Downstream analyses covered GO/KEGG enrichment, paired limma differential-expression analysis in two independent PTC cohorts (GSE60542 and GSE33630) together with candidate-set enrichment tests and cross-cohort validation, and exploratory docking of β-sitosterol to CYP3A4 (6UNI) and CaV3.2 (9AYG).</w:t>
      </w:r>
    </w:p>
    <w:p>
      <w:pPr>
        <w:pStyle w:val="BodyText"/>
      </w:pPr>
      <w:r>
        <w:t xml:space="preserve">Herb–ingredient records came from TCMSP and were linked to PubChem compound identifiers (CIDs) by matching lower-case compound names against a synonym table [4, 5]. For compound-associated genes we drew on BindingDB, the known and predicted interactions in BATMAN-TCM, and the IUPHAR/BPS Guide to PHARMACOLOGY [6-8]. UniProt protein identifiers in BindingDB were converted to gene symbols. All recorded associations were retained; BATMAN-TCM predictions were added only when the prediction score exceeded 0.80. CID–gene records were then merged and gene symbols deduplicated within each CID, so that TCMSP supplied the herb–ingredient inventory while the retained gene associations came from the three target resources above.</w:t>
      </w:r>
    </w:p>
    <w:p>
      <w:pPr>
        <w:pStyle w:val="BodyText"/>
      </w:pPr>
      <w:r>
        <w:t xml:space="preserve">The selected XYT set comprised E Zhu, Bai Shao, Dang Gui, Chai Hu, Qing Pi, Huang Yao Zi, Xia Ku Cao, Zao Jiao Ci, Mu Dan Pi, Bai Zhu, Fu Ling, Bai Mao Xia Ku Cao, Xuan Shen, and Zhe Bei Mu. ZBM and XKC records were extracted by their Chinese herb names and processed using the same workflow. Within each set, duplicate herb–compound records were collapsed, and distinct CIDs were counted at three stages: all mapped ingredients, ingredients linked to retained genes, and ingredients linked to disease-overlapping genes.</w:t>
      </w:r>
    </w:p>
    <w:p>
      <w:pPr>
        <w:pStyle w:val="BodyText"/>
      </w:pPr>
      <w:r>
        <w:t xml:space="preserve">Thyroid-tumour-associated genes came from a GeneCards export of 12,987 unique gene symbols [9], and the complete exported list was used for all three comparisons. Ingredient-associated symbols were split on semicolons, deduplicated and intersected with the disease list, which defined the ZBM, XKC and XYT candidate sets.</w:t>
      </w:r>
    </w:p>
    <w:p>
      <w:pPr>
        <w:pStyle w:val="BodyText"/>
      </w:pPr>
      <w:r>
        <w:t xml:space="preserve">Expression analyses used two Affymetrix GPL570 cohorts: GSE60542 from Belgium and France [10], and GSE33630 from the Ukrainian Chernobyl Tissue Bank [11]. The submitted fRMA- and RMA-normalised log2 matrices were analysed separately. We included only matched primary PTC and non-tumoral thyroid samples; repeated GSE60542 tissue blocks were averaged within patient and tissue type, and the title-based pairing in GSE33630 was confirmed against clinical bank identifiers, with five unpaired tumours, one unpaired normal sample and 11 anaplastic cancers excluded. No GEO sample identifier appeared in both cohorts. Probes with missing or ambiguous gene annotation were dropped, and probes mapping to a single gene were averaged on the log2 scale, leaving 20,848 genes per cohort. Paired limma models (</w:t>
      </w:r>
      <w:r>
        <w:rPr>
          <w:rStyle w:val="VerbatimChar"/>
        </w:rPr>
        <w:t xml:space="preserve">~ patient_id + tissue_group</w:t>
      </w:r>
      <w:r>
        <w:t xml:space="preserve">) were fitted in R 4.3.1 with limma 3.58.1 and robust empirical Bayes moderation [12]; positive log2 fold changes indicate higher tumour expression. Differential expression required Benjamini–Hochberg-adjusted P &lt;0.05 and |log2FC| ≥1. The unchanged XYT, XKC and ZBM sets were tested with one-sided Fisher tests against all measured genes and against the 10,655 disease-associated measured genes, adjusting six P values within each cohort, and conditional odds ratios are reported with two-sided exact 95% confidence intervals. Cross-cohort agreement was judged by Spearman correlation, direction of change and repeated fulfilment of the differential-expression criteria. For the exposure-stratified sensitivity analysis in GSE33630, the same paired model and thresholds were used and 12 enrichment P values were adjusted together. Three genes nominated as candidate targets in the docking analysis (POLB, CACNA1H and CYP3A4) were also examined at the single-gene level.</w:t>
      </w:r>
    </w:p>
    <w:p>
      <w:pPr>
        <w:pStyle w:val="BodyText"/>
      </w:pPr>
      <w:r>
        <w:t xml:space="preserve">Unique gene symbols were converted to Entrez identifiers with</w:t>
      </w:r>
      <w:r>
        <w:t xml:space="preserve"> </w:t>
      </w:r>
      <w:r>
        <w:rPr>
          <w:rStyle w:val="VerbatimChar"/>
        </w:rPr>
        <w:t xml:space="preserve">bitr</w:t>
      </w:r>
      <w:r>
        <w:t xml:space="preserve"> </w:t>
      </w:r>
      <w:r>
        <w:t xml:space="preserve">and org.Hs.eg.db, and every returned identifier went into the clusterProfiler enrichment analysis [13]. GO covered biological process (BP), molecular function (MF) and cellular component (CC); KEGG used the human annotations. Enrichment was tested with upper-tail hypergeometric tests under Benjamini–Hochberg correction (</w:t>
      </w:r>
      <w:r>
        <w:rPr>
          <w:rStyle w:val="VerbatimChar"/>
        </w:rPr>
        <w:t xml:space="preserve">pvalueCutoff = 0.05</w:t>
      </w:r>
      <w:r>
        <w:t xml:space="preserve">,</w:t>
      </w:r>
      <w:r>
        <w:t xml:space="preserve"> </w:t>
      </w:r>
      <w:r>
        <w:rPr>
          <w:rStyle w:val="VerbatimChar"/>
        </w:rPr>
        <w:t xml:space="preserve">qvalueCutoff = 0.2</w:t>
      </w:r>
      <w:r>
        <w:t xml:space="preserve">), against the default backgrounds of 18,888 (BP), 18,522 (MF), 19,894 (CC) and 8,859 (KEGG) genes. Terms reaching adjusted P &lt;0.05 are reported.</w:t>
      </w:r>
    </w:p>
    <w:p>
      <w:pPr>
        <w:pStyle w:val="BodyText"/>
      </w:pPr>
      <w:r>
        <w:t xml:space="preserve">The GO figures show the union of the three lowest-adjusted-P terms per set within each ontology, and the KEGG figures the union of the five lowest-adjusted-P pathways per set, with the thyroid cancer pathway (hsa05216) added because of the study question. GeneRatio is based on the annotated input size recorded for each analysis, which can differ between ontologies; a missing bar means the term did not appear in that significant-result table. These figures are meant as a descriptive comparison of annotation profiles.</w:t>
      </w:r>
    </w:p>
    <w:p>
      <w:pPr>
        <w:pStyle w:val="BodyText"/>
      </w:pPr>
      <w:r>
        <w:t xml:space="preserve">Ligands were prepared with Open Babel and receptor structures were taken from RCSB PDB [14, 15]. AutoDock Vina served for initial screening and smina for the supplementary β-sitosterol docking [16, 17]. Structural assessment concentrated on human CYP3A4 (6UNI) and apo CaV3.2/CACNA1H (9AYG) [15, 18]; the bacterial 4P5A structure was left out of the human-target analysis. The initial Vina protocol used a 20 × 20 × 20 Å search box centred on the mean receptor ATOM coordinates rounded to whole angstroms, with exhaustiveness 32 and five CPU threads. The supplementary smina runs used exhaustiveness 8, nine output modes and one CPU thread, and the search box was defined from the extracted reference structure with</w:t>
      </w:r>
      <w:r>
        <w:t xml:space="preserve"> </w:t>
      </w:r>
      <w:r>
        <w:rPr>
          <w:rStyle w:val="VerbatimChar"/>
        </w:rPr>
        <w:t xml:space="preserve">--autobox_add 4</w:t>
      </w:r>
      <w:r>
        <w:t xml:space="preserve">. Minimum-score poses were read together with receptor identity, cofactor retention and the residues used to set the search region.</w:t>
      </w:r>
    </w:p>
    <w:bookmarkEnd w:id="15"/>
    <w:bookmarkStart w:id="25" w:name="results"/>
    <w:p>
      <w:pPr>
        <w:pStyle w:val="Heading1"/>
      </w:pPr>
      <w:r>
        <w:t xml:space="preserve">Results</w:t>
      </w:r>
    </w:p>
    <w:p>
      <w:pPr>
        <w:pStyle w:val="FirstParagraph"/>
      </w:pPr>
      <w:r>
        <w:t xml:space="preserve">The ingredient tables yielded 16, 68 and 803 distinct non-missing PubChem CIDs for ZBM, XKC and XYT. Gene associations were retained for 8, 57 and 501 of these, and 8, 57 and 492 were linked to at least one gene in the disease intersection. In total the three sets comprised 107, 1,094 and 2,131 unique ingredient-associated genes, of which 78/107 (72.9%), 842/1,094 (77.0%) and 1,595/2,131 (74.8%) overlapped the common disease list; 12,909, 12,145 and 11,392 genes were disease-only, and 29, 252 and 536 ingredient-only (Supplementary Figure S1). The 1,595-gene XYT intersection contained all 78 ZBM and all 842 XKC disease-overlapping genes. XYT thus covered the largest gene set, although the fraction overlapping the disease list was much the same across the three sets.</w:t>
      </w:r>
    </w:p>
    <w:p>
      <w:pPr>
        <w:pStyle w:val="BodyText"/>
      </w:pPr>
      <w:r>
        <w:t xml:space="preserve">GO analysis returned 1,026, 3,925 and 4,782 terms at adjusted P &lt;0.05 for ZBM, XKC and XYT, based on annotated inputs of 78/78/78, 835/840/839 and 1,582/1,588/1,587 genes in BP/MF/CC order. These input sizes are annotation-specific and therefore differ from the initial disease-intersection totals. Oxidative-stress response (GO:0006979) was represented by 9/78 ZBM genes (adjusted P =5.98 × 10</w:t>
      </w:r>
      <w:r>
        <w:rPr>
          <w:vertAlign w:val="superscript"/>
        </w:rPr>
        <w:t xml:space="preserve">-4</w:t>
      </w:r>
      <w:r>
        <w:t xml:space="preserve">), 106/835 XKC genes (6.35 × 10</w:t>
      </w:r>
      <w:r>
        <w:rPr>
          <w:vertAlign w:val="superscript"/>
        </w:rPr>
        <w:t xml:space="preserve">-50</w:t>
      </w:r>
      <w:r>
        <w:t xml:space="preserve">) and 149/1,582 XYT genes (7.06 × 10</w:t>
      </w:r>
      <w:r>
        <w:rPr>
          <w:vertAlign w:val="superscript"/>
        </w:rPr>
        <w:t xml:space="preserve">-57</w:t>
      </w:r>
      <w:r>
        <w:t xml:space="preserve">). Calcium homeostasis and the voltage-gated calcium channel complex also appeared; for the latter (GO:0005891) the GeneRatio was 15/78, 15/839 and 19/1,587. Figure 2 shows the annotation profiles.</w:t>
      </w:r>
    </w:p>
    <w:p>
      <w:pPr>
        <w:pStyle w:val="BodyText"/>
      </w:pPr>
      <w:r>
        <w:drawing>
          <wp:inline>
            <wp:extent cx="5334000" cy="6134100"/>
            <wp:effectExtent b="0" l="0" r="0" t="0"/>
            <wp:docPr descr="" title="" id="17" name="Picture"/>
            <a:graphic>
              <a:graphicData uri="http://schemas.openxmlformats.org/drawingml/2006/picture">
                <pic:pic>
                  <pic:nvPicPr>
                    <pic:cNvPr descr="09_figures/Figure_2_GO.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GO annotations. The three panels show biological process (BP), molecular function (MF) and cellular component (CC), with terms taken as the union of the three lowest-adjusted-P terms per group within each ontology. Bar length gives the GeneRatio; colours denote ZBM (orange), XKC (teal) and XYT (purple). A missing bar means the term was absent from that group’s exported significant-result table. The selected terms and their statistics are given in the accompanying source table.</w:t>
      </w:r>
    </w:p>
    <w:p>
      <w:pPr>
        <w:pStyle w:val="BodyText"/>
      </w:pPr>
      <w:r>
        <w:t xml:space="preserve">KEGG analysis gave 83, 221 and 239 significant pathways (adjusted P &lt;0.05) for ZBM, XKC and XYT from 74, 724 and 1,346 annotated input genes. Calcium signalling, MAPK signalling and apoptosis appeared in all three sets. The thyroid cancer pathway was enriched for XKC (16/724 genes; adjusted P =2.56 × 10</w:t>
      </w:r>
      <w:r>
        <w:rPr>
          <w:vertAlign w:val="superscript"/>
        </w:rPr>
        <w:t xml:space="preserve">-8</w:t>
      </w:r>
      <w:r>
        <w:t xml:space="preserve">) and XYT (20/1,346; 1.16 × 10</w:t>
      </w:r>
      <w:r>
        <w:rPr>
          <w:vertAlign w:val="superscript"/>
        </w:rPr>
        <w:t xml:space="preserve">-7</w:t>
      </w:r>
      <w:r>
        <w:t xml:space="preserve">) but did not reach significance for ZBM. Lipid and atherosclerosis carried the lowest adjusted P for XKC and XYT, while nicotine addiction ranked first for ZBM (Figure 3).</w:t>
      </w:r>
    </w:p>
    <w:p>
      <w:pPr>
        <w:pStyle w:val="BodyText"/>
      </w:pPr>
      <w:r>
        <w:drawing>
          <wp:inline>
            <wp:extent cx="5334000" cy="3467100"/>
            <wp:effectExtent b="0" l="0" r="0" t="0"/>
            <wp:docPr descr="" title="" id="20" name="Picture"/>
            <a:graphic>
              <a:graphicData uri="http://schemas.openxmlformats.org/drawingml/2006/picture">
                <pic:pic>
                  <pic:nvPicPr>
                    <pic:cNvPr descr="09_figures/Figure_3_KEGG.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Selected KEGG pathways, taken as the union of the five lowest-adjusted-P pathways per group plus hsa05216 (thyroid cancer). Bars show GeneRatio; colours and the missing-bar interpretation follow Figure 2. Full enrichment results and figure source data accompany the manuscript.</w:t>
      </w:r>
    </w:p>
    <w:p>
      <w:pPr>
        <w:pStyle w:val="BodyText"/>
      </w:pPr>
      <w:r>
        <w:rPr>
          <w:b/>
          <w:bCs/>
        </w:rPr>
        <w:t xml:space="preserve">Paired PTC transcriptome analysis.</w:t>
      </w:r>
      <w:r>
        <w:t xml:space="preserve"> </w:t>
      </w:r>
      <w:r>
        <w:t xml:space="preserve">The final dataset comprised 24 patients contributing 28 primary-tumour and 27 normal-thyroid blocks, averaged into 48 patient–tissue observations. Of the 20,848 measured genes, 666 met the differential-expression criteria, 347 higher and 319 lower in tumour tissue (Figure 4). Among 1,518 measured XYT candidates, 111 were differentially expressed, giving odds ratios of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For XKC the counts were 69/805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contributed only 4/77 differentially expressed genes and was not significant under either background (adjusted P =0.278 and 0.482). Of the three preselected candidates, POLB decreased slightly (log2FC =−0.070; adjusted P =0.00271) but fell short of the fold-change threshold, whereas CACNA1H and CYP3A4 showed only small, non-significant changes (log2FC =−0.053 and −0.031; adjusted P =0.273 and 0.338); none of the three genes met both criteria.</w:t>
      </w:r>
    </w:p>
    <w:p>
      <w:pPr>
        <w:pStyle w:val="BodyText"/>
      </w:pPr>
      <w:r>
        <w:drawing>
          <wp:inline>
            <wp:extent cx="5334000" cy="2411895"/>
            <wp:effectExtent b="0" l="0" r="0" t="0"/>
            <wp:docPr descr="" title="" id="23" name="Picture"/>
            <a:graphic>
              <a:graphicData uri="http://schemas.openxmlformats.org/drawingml/2006/picture">
                <pic:pic>
                  <pic:nvPicPr>
                    <pic:cNvPr descr="09_figures/Figure_4_GSE60542.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Paired PTC transcriptome analysis in GSE60542 (24 patients). (A) Paired-limma volcano plot of the 20,848 measured genes; dashed lines mark adjusted P =0.05 and |log2FC| =1. Because the candidate sets overlap, XYT points (purple) were drawn first, then XKC (teal) and ZBM (orange); the visible colour therefore does not imply exclusive membership. (B) Conditional odds ratios with two-sided exact 95% confidence intervals for over-representation among differentially expressed genes, using either all measured genes or the disease-listed measured genes as background. FDR labels give Benjamini–Hochberg-adjusted P values from the six one-sided Fisher tests.</w:t>
      </w:r>
    </w:p>
    <w:p>
      <w:pPr>
        <w:pStyle w:val="BodyText"/>
      </w:pPr>
      <w:r>
        <w:t xml:space="preserve">GSE33630 contributed 44 matched pairs and 745 differentially expressed genes (407 higher, 338 lower in tumour tissue). Among the measured candidates, 112/1,518 XYT and 68/805 XKC genes were differentially expressed, with odds ratios of 2.35 and 2.64 against all measured genes and 1.59 (95% CI 1.27–1.97) and 1.80 (1.36–2.35) against disease-associated genes (adjusted P =4.99 × 10</w:t>
      </w:r>
      <w:r>
        <w:rPr>
          <w:vertAlign w:val="superscript"/>
        </w:rPr>
        <w:t xml:space="preserve">-5</w:t>
      </w:r>
      <w:r>
        <w:t xml:space="preserve"> </w:t>
      </w:r>
      <w:r>
        <w:t xml:space="preserve">for both disease-restricted tests). ZBM (2/77 genes) again showed no enrichment (adjusted P =0.913 for both backgrounds). Log2 fold changes correlated across the 20,848 genes between cohorts (Spearman ρ =0.786). Of the 666 initial findings, 664 agreed in direction and 536 met the same criteria in GSE33630, among them 83/111 XYT and 51/69 XKC genes (Supplementary Figure S3). The largest replicated changes among the candidates were down-regulation of DIO1 (log2FC =−4.86 and −3.24 in the two cohorts) and TPO (−4.61 and −3.24) and up-regulation of LRRK2 (3.59 and 4.29), DPP4 (3.45 and 3.60) and FN1 (3.02 and 2.51) (Supplementary Table T39). POLB, CACNA1H and CYP3A4 once more failed the combined criteria. XYT and XKC enrichment held in both exposure strata (22 pairs each; all adjusted P &lt;0.001), whereas ZBM remained non-significant.</w:t>
      </w:r>
    </w:p>
    <w:p>
      <w:pPr>
        <w:pStyle w:val="BodyText"/>
      </w:pPr>
      <w:r>
        <w:t xml:space="preserve">β-Sitosterol (CID 222284), the one compound common to all three ingredient sets, was chosen for structural exploration; repeated CID–receptor combinations under different herb labels represented the same compound–protein pair.</w:t>
      </w:r>
    </w:p>
    <w:p>
      <w:pPr>
        <w:pStyle w:val="BodyText"/>
      </w:pPr>
      <w:r>
        <w:t xml:space="preserve">Minimum smina scores were −9.12 kcal/mol for CYP3A4 (6UNI) and −9.68 kcal/mol for CaV3.2 (9AYG) (Supplementary Figure S2). CYP3A4 was prepared without its haem cofactor, whereas the automatic box reference still contained both the haem and the crystallographic inhibitor; for 9AYG the box reference held several non-protein residue types. The displayed poses should therefore be read as exploratory structural outputs.</w:t>
      </w:r>
    </w:p>
    <w:bookmarkEnd w:id="25"/>
    <w:bookmarkStart w:id="26" w:name="discussion"/>
    <w:p>
      <w:pPr>
        <w:pStyle w:val="Heading1"/>
      </w:pPr>
      <w:r>
        <w:t xml:space="preserve">Discussion</w:t>
      </w:r>
    </w:p>
    <w:p>
      <w:pPr>
        <w:pStyle w:val="FirstParagraph"/>
      </w:pPr>
      <w:r>
        <w:t xml:space="preserve">This study connected the selected XYT core herbs to thyroid-disease-associated genes and then examined those genes in paired PTC tissue. The functional annotations centred on oxidative stress, calcium regulation and signalling. At the single-gene level, the replicated candidates were headed by genes already characteristic of PTC expression, including down-regulation of the thyroid-differentiation markers DIO1 and TPO [1]. XYT and XKC candidates were over-represented among tumour-altered genes in both cohorts, even when the comparison was restricted to measured genes already on the disease list. The odds ratios shrank under that restricted background, which shows that part of the enrichment depends on the choice of comparator genes. Persistence of the association across both cohorts supports a relationship with the PTC expression profile; it says nothing about response to herbal treatment.</w:t>
      </w:r>
    </w:p>
    <w:p>
      <w:pPr>
        <w:pStyle w:val="BodyText"/>
      </w:pPr>
      <w:r>
        <w:t xml:space="preserve">The three gene sets are nested, since both single-herb intersections sit inside XYT. Broader XYT coverage is therefore expected and cannot be read as synergy. ZBM contributed only 77 measured genes (four differentially expressed in GSE60542 and two in GSE33630), so its enrichment estimates carry wide confidence intervals. That non-significant result neither proves a lack of activity nor demonstrates a statistical difference from XYT or XKC, and the differing overlap percentages or GeneRatios say nothing about treatment effects either.</w:t>
      </w:r>
    </w:p>
    <w:p>
      <w:pPr>
        <w:pStyle w:val="BodyText"/>
      </w:pPr>
      <w:r>
        <w:t xml:space="preserve">The oxidative-stress annotations fit with the established place of redox regulation in thyroid cancer [19]. The calcium-related annotations also merit follow-up, given experimental work linking TRPC1 to thyroid cancer cell migration and proliferation [20]. TRPC1 and CACNA1H, however, encode different channel types, and a shared calcium annotation does not tie them together mechanistically. The transcriptome analysis also assessed whole candidate sets rather than the independent activity of each GO or KEGG pathway, and enrichment of the KEGG thyroid cancer pathway is partly conditioned on having used a thyroid-tumour gene list to select the inputs.</w:t>
      </w:r>
    </w:p>
    <w:p>
      <w:pPr>
        <w:pStyle w:val="BodyText"/>
      </w:pPr>
      <w:r>
        <w:t xml:space="preserve">The gene-level expression findings call for more caution than the gene-set results. POLB showed small yet statistically significant decreases (log2FC =−0.070 in GSE60542 and −0.116 in GSE33630), whereas CACNA1H and CYP3A4 did not differ significantly. Transcript abundance is not protein activity, so the proposed interactions now need functional testing. One plausible context for CYP3A4 is drug metabolism, given its role in vandetanib breakdown [21]. The docking poses add limited support, since CYP3A4 lacked its haem cofactor and the automatic search regions were never validated as binding sites.</w:t>
      </w:r>
    </w:p>
    <w:p>
      <w:pPr>
        <w:pStyle w:val="BodyText"/>
      </w:pPr>
      <w:r>
        <w:t xml:space="preserve">Earlier β-sitosterol studies offer useful context but were done in different systems: Cao and colleagues worked in non-small-cell lung cancer [22], and Chen and colleagues tested Prunella vulgaris components in inflammatory thyrocyte models of Hashimoto’s disease [23]. Neither establishes the proposed interactions in PTC. Wnt and Keap1/Nrf2 signalling are both relevant to thyroid cancer biology [24, 25], but whether the selected herbs modulate them was not measured here.</w:t>
      </w:r>
    </w:p>
    <w:p>
      <w:pPr>
        <w:pStyle w:val="BodyText"/>
      </w:pPr>
      <w:r>
        <w:t xml:space="preserve">Several limitations apply. The target assignments mix recorded and predicted associations of differing evidentiary strength, and the BindingDB records were integrated without organism- or affinity-based restriction, which limits their reading as human therapeutic targets. A broad disease list and annotation-wide GO/KEGG backgrounds may favour well-annotated genes and shared pathways; the disease-restricted transcriptome analysis dealt with background choice for the expression overlap, but gene correlation and database coverage still bear on the functional results. Both cohorts are PTC, and tissue composition may contribute to the expression differences. GSE33630 also involved younger patients (median age 16.82 years; range 12.38–24.55), split evenly between radiation-exposed and unexposed. Agreement across the two cohorts supports the reproducibility of the disease associations, but it does not demonstrate any response to herbal treatment. What the study supports are disease associations that now require testing in treatment-exposed models with chemically characterised preparations.</w:t>
      </w:r>
    </w:p>
    <w:p>
      <w:pPr>
        <w:pStyle w:val="BodyText"/>
      </w:pPr>
      <w:r>
        <w:t xml:space="preserve">Further work should bring together concentration–response experiments, non-malignant controls and target perturbation with binding or functional assays; structural follow-up should retain essential cofactors, define the binding site explicitly and benchmark the docking protocol against a reference ligand.</w:t>
      </w:r>
    </w:p>
    <w:bookmarkEnd w:id="26"/>
    <w:bookmarkStart w:id="27" w:name="conclusion"/>
    <w:p>
      <w:pPr>
        <w:pStyle w:val="Heading1"/>
      </w:pPr>
      <w:r>
        <w:t xml:space="preserve">Conclusion</w:t>
      </w:r>
    </w:p>
    <w:p>
      <w:pPr>
        <w:pStyle w:val="FirstParagraph"/>
      </w:pPr>
      <w:r>
        <w:t xml:space="preserve">XYT and XKC candidate genes were over-represented among the genes altered in paired PTC tissue in two independent cohorts, including against disease-restricted backgrounds. Eighty-three XYT candidates, including the thyroid-differentiation markers DIO1 and TPO, met the differential-expression criteria in both cohorts. ZBM enrichment was inconclusive, and none of the three preselected genes met the combined differential-expression criteria. These findings prioritise disease-associated genes for functional study of the selected herbs.</w:t>
      </w:r>
    </w:p>
    <w:bookmarkEnd w:id="27"/>
    <w:bookmarkStart w:id="28" w:name="list-of-abbreviations"/>
    <w:p>
      <w:pPr>
        <w:pStyle w:val="Heading1"/>
      </w:pPr>
      <w:r>
        <w:t xml:space="preserve">List of Abbreviations</w:t>
      </w:r>
    </w:p>
    <w:p>
      <w:pPr>
        <w:pStyle w:val="FirstParagraph"/>
      </w:pPr>
      <w:r>
        <w:t xml:space="preserve">CID: PubChem compound identifier; DE: differential expression; GO: Gene Ontology; KEGG: Kyoto Encyclopedia of Genes and Genomes; log2FC: log2 fold change; PTC: papillary thyroid carcinoma; TCMSP: Traditional Chinese Medicine Systems Pharmacology; XKC: Xia Ku Cao; XYT: Xiao Ying Tang; ZBM: Zhe Bei Mu.</w:t>
      </w:r>
    </w:p>
    <w:bookmarkEnd w:id="28"/>
    <w:bookmarkStart w:id="29" w:name="Xd182db0490b2de20bd2b4e4cc8698599182035f"/>
    <w:p>
      <w:pPr>
        <w:pStyle w:val="Heading1"/>
      </w:pPr>
      <w:r>
        <w:t xml:space="preserve">Ethics Approval and Consent to Participate</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29"/>
    <w:bookmarkStart w:id="30" w:name="human-and-animal-rights"/>
    <w:p>
      <w:pPr>
        <w:pStyle w:val="Heading1"/>
      </w:pPr>
      <w:r>
        <w:t xml:space="preserve">Human and Animal Rights</w:t>
      </w:r>
    </w:p>
    <w:p>
      <w:pPr>
        <w:pStyle w:val="FirstParagraph"/>
      </w:pPr>
      <w:r>
        <w:t xml:space="preserve">No humans or animals were used in this research.</w:t>
      </w:r>
    </w:p>
    <w:bookmarkEnd w:id="30"/>
    <w:bookmarkStart w:id="31" w:name="consent-for-publication"/>
    <w:p>
      <w:pPr>
        <w:pStyle w:val="Heading1"/>
      </w:pPr>
      <w:r>
        <w:t xml:space="preserve">Consent for Publication</w:t>
      </w:r>
    </w:p>
    <w:p>
      <w:pPr>
        <w:pStyle w:val="FirstParagraph"/>
      </w:pPr>
      <w:r>
        <w:t xml:space="preserve">Not applicable.</w:t>
      </w:r>
    </w:p>
    <w:bookmarkEnd w:id="31"/>
    <w:bookmarkStart w:id="32" w:name="availability-of-data-and-materials"/>
    <w:p>
      <w:pPr>
        <w:pStyle w:val="Heading1"/>
      </w:pPr>
      <w:r>
        <w:t xml:space="preserve">Availability of Data and Materials</w:t>
      </w:r>
    </w:p>
    <w:p>
      <w:pPr>
        <w:pStyle w:val="FirstParagraph"/>
      </w:pPr>
      <w:r>
        <w:t xml:space="preserve">Gene lists, sample and pairing manifests, differential-expression results, enrichment tests, and quality-control summaries are included in the supplementary material. Expression data and platform annotations are available from GEO under GSE60542, GSE33630 and GPL570. Cross-cohort comparisons and exposure-stratified results are included in the supplementary material. The underlying network-pharmacology data are available from the corresponding author upon reasonable request. Analysis code is not publicly available.</w:t>
      </w:r>
    </w:p>
    <w:bookmarkEnd w:id="32"/>
    <w:bookmarkStart w:id="33" w:name="funding"/>
    <w:p>
      <w:pPr>
        <w:pStyle w:val="Heading1"/>
      </w:pPr>
      <w:r>
        <w:t xml:space="preserve">Funding</w:t>
      </w:r>
    </w:p>
    <w:p>
      <w:pPr>
        <w:pStyle w:val="FirstParagraph"/>
      </w:pPr>
      <w:r>
        <w:t xml:space="preserve">This work was supported by the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33"/>
    <w:bookmarkStart w:id="34"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34"/>
    <w:bookmarkStart w:id="35" w:name="acknowledgements"/>
    <w:p>
      <w:pPr>
        <w:pStyle w:val="Heading1"/>
      </w:pPr>
      <w:r>
        <w:t xml:space="preserve">Acknowledgements</w:t>
      </w:r>
    </w:p>
    <w:p>
      <w:pPr>
        <w:pStyle w:val="FirstParagraph"/>
      </w:pPr>
      <w:r>
        <w:t xml:space="preserve">Declared none.</w:t>
      </w:r>
    </w:p>
    <w:bookmarkEnd w:id="35"/>
    <w:bookmarkStart w:id="36"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All authors have reviewed and approved the final manuscript.</w:t>
      </w:r>
    </w:p>
    <w:bookmarkEnd w:id="36"/>
    <w:bookmarkStart w:id="37" w:name="references"/>
    <w:p>
      <w:pPr>
        <w:pStyle w:val="Heading1"/>
      </w:pPr>
      <w:r>
        <w:t xml:space="preserve">References</w:t>
      </w:r>
    </w:p>
    <w:p>
      <w:pPr>
        <w:pStyle w:val="FirstParagraph"/>
      </w:pPr>
      <w:r>
        <w:t xml:space="preserve">[1] Cabanillas ME, McFadden DG, Durante C. Thyroid cancer. Lancet 2016; 388(10061): 2783-95. [PMID: 27240885]</w:t>
      </w:r>
    </w:p>
    <w:p>
      <w:pPr>
        <w:pStyle w:val="BodyText"/>
      </w:pPr>
      <w:r>
        <w:t xml:space="preserve">[2] Haugen BR, Alexander EK, Bible KC, Doherty GM, Mandel SJ, Nikiforov YE, et al. 2015 American Thyroid Association Management Guidelines for Adult Patients with Thyroid Nodules and Differentiated Thyroid Cancer. Thyroid 2016; 26(1): 1-133. [PMID: 26462967]</w:t>
      </w:r>
    </w:p>
    <w:p>
      <w:pPr>
        <w:pStyle w:val="BodyText"/>
      </w:pPr>
      <w:r>
        <w:t xml:space="preserve">[3] Xing M. Molecular pathogenesis and mechanisms of thyroid cancer. Nat Rev Cancer 2013; 13: 184-99. [PMID: 23429735]</w:t>
      </w:r>
    </w:p>
    <w:p>
      <w:pPr>
        <w:pStyle w:val="BodyText"/>
      </w:pPr>
      <w:r>
        <w:t xml:space="preserve">[4] Ru J, Li P, Wang J, Zhou W, Li B, Huang C, et al. TCMSP: a database of systems pharmacology for drug discovery from herbal medicines. J Cheminform 2014; 6: 13. [PMID: 24735618]</w:t>
      </w:r>
    </w:p>
    <w:p>
      <w:pPr>
        <w:pStyle w:val="BodyText"/>
      </w:pPr>
      <w:r>
        <w:t xml:space="preserve">[5] Kim S, Chen J, Cheng T, Gindulyte A, He J, He S, et al. PubChem 2023 update. Nucleic Acids Res 2023; 51(D1): D1373-80. [PMID: 36305812]</w:t>
      </w:r>
    </w:p>
    <w:p>
      <w:pPr>
        <w:pStyle w:val="BodyText"/>
      </w:pPr>
      <w:r>
        <w:t xml:space="preserve">[6] Gilson MK, Liu T, Baitaluk M, Nicola G, Hwang L, Chong J. BindingDB in 2015: a public database for medicinal chemistry, computational chemistry and systems pharmacology. Nucleic Acids Res 2016; 44(D1): D1045-53. [PMID: 26481362]</w:t>
      </w:r>
    </w:p>
    <w:p>
      <w:pPr>
        <w:pStyle w:val="BodyText"/>
      </w:pPr>
      <w:r>
        <w:t xml:space="preserve">[7] Kong X, Liu C, Zhang Z, Cheng M, Mei Z, Li X, et al. BATMAN-TCM 2.0: an enhanced integrative database for known and predicted interactions between traditional Chinese medicine ingredients and target proteins. Nucleic Acids Res 2024; 52(D1): D1110-20. [PMID: 37904598]</w:t>
      </w:r>
    </w:p>
    <w:p>
      <w:pPr>
        <w:pStyle w:val="BodyText"/>
      </w:pPr>
      <w:r>
        <w:t xml:space="preserve">[8] Harding SD, Armstrong JF, Faccenda E, Southan C, Alexander SPH, Davenport AP, et al. The IUPHAR/BPS Guide to PHARMACOLOGY in 2024. Nucleic Acids Res 2024; 52(D1): D1438-49. [PMID: 37897341]</w:t>
      </w:r>
    </w:p>
    <w:p>
      <w:pPr>
        <w:pStyle w:val="BodyText"/>
      </w:pPr>
      <w:r>
        <w:t xml:space="preserve">[9] Safran M, Dalah I, Alexander J, Rosen N, Iny Stein T, Shmoish M, et al. GeneCards Version 3: the human gene integrator. Database (Oxford) 2010; 2010: baq020. [PMID: 20689021]</w:t>
      </w:r>
    </w:p>
    <w:p>
      <w:pPr>
        <w:pStyle w:val="BodyText"/>
      </w:pPr>
      <w:r>
        <w:t xml:space="preserve">[10] Tarabichi M, Saiselet M, Trésallet C, Hoang C, Larsimont D, Andry G, et al. Revisiting the transcriptional analysis of primary tumours and associated nodal metastases with enhanced biological and statistical controls: application to thyroid cancer. Br J Cancer 2015; 112(10): 1665-74. [PMID: 25965298]</w:t>
      </w:r>
    </w:p>
    <w:p>
      <w:pPr>
        <w:pStyle w:val="BodyText"/>
      </w:pPr>
      <w:r>
        <w:t xml:space="preserve">[11] Dom G, Tarabichi M, Unger K, Thomas G, Oczko-Wojciechowska M, Bogdanova T, et al. A gene expression signature distinguishes normal tissues of sporadic and radiation-induced papillary thyroid carcinomas. Br J Cancer 2012; 107(6): 994-1000. [PMID: 22828612]</w:t>
      </w:r>
    </w:p>
    <w:p>
      <w:pPr>
        <w:pStyle w:val="BodyText"/>
      </w:pPr>
      <w:r>
        <w:t xml:space="preserve">[12] Ritchie ME, Phipson B, Wu D, Hu Y, Law CW, Shi W, Smyth GK. limma powers differential expression analyses for RNA-sequencing and microarray studies. Nucleic Acids Res 2015; 43(7): e47. [PMID: 25605792]</w:t>
      </w:r>
    </w:p>
    <w:p>
      <w:pPr>
        <w:pStyle w:val="BodyText"/>
      </w:pPr>
      <w:r>
        <w:t xml:space="preserve">[13] Yu G, Wang LG, Han Y, He QY. clusterProfiler: an R package for comparing biological themes among gene clusters. OMICS 2012; 16(5): 284-7. [PMID: 22455463]</w:t>
      </w:r>
    </w:p>
    <w:p>
      <w:pPr>
        <w:pStyle w:val="BodyText"/>
      </w:pPr>
      <w:r>
        <w:t xml:space="preserve">[14] O’Boyle NM, Banck M, James CA, Morley C, Vandermeersch T, Hutchison GR. Open Babel: an open chemical toolbox. J Cheminform 2011; 3: 33. [PMID: 21982300]</w:t>
      </w:r>
    </w:p>
    <w:p>
      <w:pPr>
        <w:pStyle w:val="BodyText"/>
      </w:pPr>
      <w:r>
        <w:t xml:space="preserve">[15] 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 49(D1): D437-51. [PMID: 33211854]</w:t>
      </w:r>
    </w:p>
    <w:p>
      <w:pPr>
        <w:pStyle w:val="BodyText"/>
      </w:pPr>
      <w:r>
        <w:t xml:space="preserve">[16] Trott O, Olson AJ. AutoDock Vina: improving the speed and accuracy of docking with a new scoring function, efficient optimization, and multithreading. J Comput Chem 2010; 31(2): 455-61. [PMID: 19499576]</w:t>
      </w:r>
    </w:p>
    <w:p>
      <w:pPr>
        <w:pStyle w:val="BodyText"/>
      </w:pPr>
      <w:r>
        <w:t xml:space="preserve">[17] Koes DR, Baumgartner MP, Camacho CJ. Lessons learned in empirical scoring with smina from the CSAR 2011 benchmarking exercise. J Chem Inf Model 2013; 53(8): 1893-904. [PMID: 23379370]</w:t>
      </w:r>
    </w:p>
    <w:p>
      <w:pPr>
        <w:pStyle w:val="BodyText"/>
      </w:pPr>
      <w:r>
        <w:t xml:space="preserve">[18] Huang J, Fan X, Jin X, Lyu C, Guo Q, Liu T, et al. Structural basis for human CaV3.2 inhibition by selective antagonists. Cell Res 2024; 34: 440-50. [PMID: 38605177]</w:t>
      </w:r>
    </w:p>
    <w:p>
      <w:pPr>
        <w:pStyle w:val="BodyText"/>
      </w:pPr>
      <w:r>
        <w:t xml:space="preserve">[19] Cazarin J, Dupuy C, Pires de Carvalho D. Redox homeostasis in thyroid cancer: implications for Na+/I− symporter (NIS) regulation. Int J Mol Sci 2022; 23(11): 6129. [PMID: 35682803]</w:t>
      </w:r>
    </w:p>
    <w:p>
      <w:pPr>
        <w:pStyle w:val="BodyText"/>
      </w:pPr>
      <w:r>
        <w:t xml:space="preserve">[20] Asghar MY, Magnusson M, Kemppainen K, Sukumaran P, Löf C, Pulli I, et al. Transient receptor potential canonical 1 (TRPC1) channels as regulators of sphingolipid and VEGF receptor expression: implications for thyroid cancer cell migration and proliferation. J Biol Chem 2015; 290(26): 16116-31. [PMID: 25971967]</w:t>
      </w:r>
    </w:p>
    <w:p>
      <w:pPr>
        <w:pStyle w:val="BodyText"/>
      </w:pPr>
      <w:r>
        <w:t xml:space="preserve">[21] Indra R, Pompach P, Martinek V, Takácsová P, Vavrová K, Heger Z, et al. Identification of human enzymes oxidizing the anti-thyroid-cancer drug vandetanib and explanation of the high efficiency of cytochrome P450 3A4 in its oxidation. Int J Mol Sci 2019; 20(14): 3392. [PMID: 31295928]</w:t>
      </w:r>
    </w:p>
    <w:p>
      <w:pPr>
        <w:pStyle w:val="BodyText"/>
      </w:pPr>
      <w:r>
        <w:t xml:space="preserve">[22] Cao W, Yuan F, Liu T, Yin R. Network pharmacology analysis, molecular docking integrated experimental verification reveal β-sitosterol as the active anti-NSCLC ingredient of Polygonatum cyrtonema Hua by suppression of PI3K/Akt/HIF-1α signaling pathway. J Ethnopharmacol 2024; 328: 117900. [PMID: 38432577]</w:t>
      </w:r>
    </w:p>
    <w:p>
      <w:pPr>
        <w:pStyle w:val="BodyText"/>
      </w:pPr>
      <w:r>
        <w:t xml:space="preserve">[23] Chen Y, Jiang B, Qu C, Jiang C, Zhang C, Wang Y, et al. Bioactive components in Prunella vulgaris for treating Hashimoto’s disease via regulation of innate immune response in human thyrocytes. Heliyon 2024; 10(16): e36103. [PMID: 39253271]</w:t>
      </w:r>
    </w:p>
    <w:p>
      <w:pPr>
        <w:pStyle w:val="BodyText"/>
      </w:pPr>
      <w:r>
        <w:t xml:space="preserve">[24] Sastre-Perona A, Santisteban P. Role of the Wnt pathway in thyroid cancer. Front Endocrinol (Lausanne) 2012; 3: 31. [PMID: 22645520]</w:t>
      </w:r>
    </w:p>
    <w:p>
      <w:pPr>
        <w:pStyle w:val="BodyText"/>
      </w:pPr>
      <w:r>
        <w:t xml:space="preserve">[25] Renaud CO, Ziros PG, Chartoumpekis DV, Bongiovanni A, Sykiotis GP. Keap1/Nrf2 signaling: a new player in thyroid pathophysiology and thyroid cancer. Front Endocrinol (Lausanne) 2019; 10: 510. [PMID: 31428048]</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2026-10-27T04:14:34Z</dcterms:created>
  <dcterms:modified xsi:type="dcterms:W3CDTF">2026-10-27T04:14:34Z</dcterms:modified>
</cp:coreProperties>
</file>

<file path=docProps/custom.xml><?xml version="1.0" encoding="utf-8"?>
<Properties xmlns="http://schemas.openxmlformats.org/officeDocument/2006/custom-properties" xmlns:vt="http://schemas.openxmlformats.org/officeDocument/2006/docPropsVTypes"/>
</file>