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7dabbce8ab4e738e5279619fd462bf21f6ecc2"/>
    <w:p>
      <w:pPr>
        <w:pStyle w:val="Heading1"/>
        <w:keepNext/>
      </w:pPr>
      <w:r>
        <w:t xml:space="preserve">Network pharmacology of core herbs selected from Xiao Ying Tang in thyroid cancer: functional enrichment and exploratory molecular docking</w:t>
      </w:r>
    </w:p>
    <w:p>
      <w:pPr>
        <w:pStyle w:val="FirstParagraph"/>
      </w:pPr>
      <w:r>
        <w:t xml:space="preserve">Tao Li</w:t>
      </w:r>
      <w:r>
        <w:rPr>
          <w:vertAlign w:val="superscript"/>
        </w:rPr>
        <w:t xml:space="preserve">1</w:t>
      </w:r>
      <w:r>
        <w:t xml:space="preserve">*, Yajie Ding</w:t>
      </w:r>
      <w:r>
        <w:rPr>
          <w:vertAlign w:val="superscript"/>
        </w:rPr>
        <w:t xml:space="preserve">2</w:t>
      </w:r>
      <w:r>
        <w:t xml:space="preserve">*, Zhiyu Luo</w:t>
      </w:r>
      <w:r>
        <w:rPr>
          <w:vertAlign w:val="superscript"/>
        </w:rPr>
        <w:t xml:space="preserve">3</w:t>
      </w:r>
      <w:r>
        <w:t xml:space="preserve">*, Xing Zhang</w:t>
      </w:r>
      <w:r>
        <w:rPr>
          <w:vertAlign w:val="superscript"/>
        </w:rPr>
        <w:t xml:space="preserve">4</w:t>
      </w:r>
      <w:r>
        <w:t xml:space="preserve">, and Pengfei Yang</w:t>
      </w:r>
      <w:r>
        <w:rPr>
          <w:vertAlign w:val="superscript"/>
        </w:rPr>
        <w:t xml:space="preserve">5</w:t>
      </w:r>
    </w:p>
    <w:p>
      <w:pPr>
        <w:pStyle w:val="BodyText"/>
      </w:pPr>
      <w:r>
        <w:rPr>
          <w:vertAlign w:val="superscript"/>
        </w:rPr>
        <w:t xml:space="preserve">1</w:t>
      </w:r>
      <w:r>
        <w:rPr>
          <w:highlight w:val="yellow"/>
        </w:rPr>
        <w:t xml:space="preserve">[AUTHOR CONFIRM: affiliation for Tao Li]</w:t>
      </w:r>
    </w:p>
    <w:p>
      <w:pPr>
        <w:pStyle w:val="BodyText"/>
      </w:pPr>
      <w:r>
        <w:rPr>
          <w:vertAlign w:val="superscript"/>
        </w:rPr>
        <w:t xml:space="preserve">2</w:t>
      </w:r>
      <w:r>
        <w:rPr>
          <w:highlight w:val="yellow"/>
        </w:rPr>
        <w:t xml:space="preserve">[AUTHOR CONFIRM: affiliation for Yajie Ding]</w:t>
      </w:r>
    </w:p>
    <w:p>
      <w:pPr>
        <w:pStyle w:val="BodyText"/>
      </w:pPr>
      <w:r>
        <w:rPr>
          <w:vertAlign w:val="superscript"/>
        </w:rPr>
        <w:t xml:space="preserve">3</w:t>
      </w:r>
      <w:r>
        <w:rPr>
          <w:highlight w:val="yellow"/>
        </w:rPr>
        <w:t xml:space="preserve">[AUTHOR CONFIRM: affiliation for Zhiyu Luo]</w:t>
      </w:r>
    </w:p>
    <w:p>
      <w:pPr>
        <w:pStyle w:val="BodyText"/>
      </w:pPr>
      <w:r>
        <w:rPr>
          <w:vertAlign w:val="superscript"/>
        </w:rPr>
        <w:t xml:space="preserve">4</w:t>
      </w:r>
      <w:r>
        <w:rPr>
          <w:highlight w:val="yellow"/>
        </w:rPr>
        <w:t xml:space="preserve">[AUTHOR CONFIRM: affiliation for Xing Zhang]</w:t>
      </w:r>
    </w:p>
    <w:p>
      <w:pPr>
        <w:pStyle w:val="BodyText"/>
      </w:pPr>
      <w:r>
        <w:rPr>
          <w:vertAlign w:val="superscript"/>
        </w:rPr>
        <w:t xml:space="preserve">5</w:t>
      </w:r>
      <w:r>
        <w:t xml:space="preserve">Clinical College of Chinese Medicine, Gansu University of Chinese Medicine, No. 35 Dingxi East Road, Chengguan District, Lanzhou City, Gansu Province, People’s Republic of China</w:t>
      </w:r>
    </w:p>
    <w:p>
      <w:pPr>
        <w:pStyle w:val="BodyText"/>
      </w:pPr>
      <w:r>
        <w:t xml:space="preserve">*These authors contributed equally to this work.</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rPr>
          <w:b/>
          <w:bCs/>
          <w:color w:val="555555"/>
        </w:rPr>
        <w:t xml:space="preserve">REVISED WORKING DRAFT — 24 October 2026.</w:t>
      </w:r>
      <w:r>
        <w:rPr>
          <w:color w:val="555555"/>
        </w:rPr>
        <w:t xml:space="preserve"> </w:t>
      </w:r>
      <w:r>
        <w:rPr>
          <w:color w:val="555555"/>
        </w:rPr>
        <w:t xml:space="preserve">The study investigates core herbs selected from Xiao Ying Tang for thyroid disease. XYT denotes this selected herb set throughout. Yellow-highlighted author queries concern reporting details still to be completed.</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In silico network pharmacology study with exploratory molecular docking.</w:t>
      </w:r>
    </w:p>
    <w:p>
      <w:pPr>
        <w:pStyle w:val="BodyText"/>
      </w:pPr>
      <w:r>
        <w:rPr>
          <w:b/>
          <w:bCs/>
        </w:rPr>
        <w:t xml:space="preserve">Place &amp; duration of study:</w:t>
      </w:r>
      <w:r>
        <w:t xml:space="preserve"> </w:t>
      </w:r>
      <w:r>
        <w:rPr>
          <w:highlight w:val="yellow"/>
        </w:rPr>
        <w:t xml:space="preserve">[AUTHOR CONFIRM: institution and actual study dates, including the supplementary docking stage.]</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and docking outputs underwent receptor-identity and preparation checks.</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β-Sitosterol was shared by all three groups. Docking remained exploratory because receptor identity and preparation issues precluded confirmatory interpretation.</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These findings prioritise biological processes for experimental investigation without establishing comparative efficacy or direct target engagement.</w:t>
      </w:r>
    </w:p>
    <w:p>
      <w:pPr>
        <w:pStyle w:val="BodyText"/>
      </w:pPr>
      <w:r>
        <w:rPr>
          <w:b/>
          <w:bCs/>
        </w:rPr>
        <w:t xml:space="preserve">Keywords:</w:t>
      </w:r>
      <w:r>
        <w:t xml:space="preserve"> </w:t>
      </w:r>
      <w:r>
        <w:t xml:space="preserve">Thyroid Neoplasms; Medicine, Chinese Traditional; Molecular Docking Simulation;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characterise their contributions within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highlight w:val="yellow"/>
        </w:rP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[AUTHOR CONFIRM: research institution, study period, database retrieval dates, and software/database versions.]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highlight w:val="yellow"/>
        </w:rPr>
        <w:t xml:space="preserve">[AUTHOR CONFIRM: complete source list, the definition and scale of Gene_Value, and the experimental or predictive evidence underlying the associations.]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The resulting database compound coverage did not encode herb doses or the relative abundance of constituents in a preparation.</w:t>
      </w:r>
    </w:p>
    <w:p>
      <w:pPr>
        <w:pStyle w:val="BodyText"/>
      </w:pPr>
      <w:r>
        <w:t xml:space="preserve">Disease-associated genes were obtained from a GeneCards export containing 12,987 unique gene symbols.</w:t>
      </w:r>
      <w:r>
        <w:rPr>
          <w:vertAlign w:val="superscript"/>
        </w:rPr>
        <w:t xml:space="preserve">7</w:t>
      </w:r>
      <w:r>
        <w:t xml:space="preserve"> </w:t>
      </w:r>
      <w:r>
        <w:rPr>
          <w:highlight w:val="yellow"/>
        </w:rPr>
        <w:t xml:space="preserve">The same disease set was used for all three comparisons, with no additional relevance-score filter in the intersection step. [AUTHOR CONFIRM: exact GeneCards query and any filtering applied before export.]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highlight w:val="yellow"/>
        </w:rPr>
        <w:t xml:space="preserve">. No custom background universe was supplied, so the respective annotation backgrounds were used. Reported terms had adjusted P &lt;0.05. [AUTHOR CONFIRM: annotation versions, effective background sizes, and the handling of unmapped or one-to-many gene identifiers.]</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t xml:space="preserve">The 4P5A entry was excluded because it represents bacterial ThyX/PolB rather than human DNA polymerase beta. The supplementary protocol lacked a complete recoverable command for the search box, random seed, exhaustiveness, and scoring settings.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The corresponding unique ingredient-associated gene totals were 107, 1,094, and 2,131. Of these, 78/107 (72.9%), 842/1,094 (77.0%), and 1,595/2,131 (74.8%) overlapped with the common disease set. Disease-only counts were 12,909, 12,145, and 11,392, while ingredient-only counts were 29, 252, and 536 (Figure 1). Thus, XYT showed the largest absolute overlap, whereas the proportions of ingredient-associated genes overlapping with the disease set were similar across groups.</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GO analysis identified 1,026, 3,925, and 4,782 significant terms for ZBM, XKC, and XYT.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KEGG analysis identified 83, 221, and 239 significant pathways for ZBM, XKC, and XYT.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gene annotations and do not imply that the preparations treat the named diseases.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Because the selected XYT set includes ZBM and XKC, the analysis compares overlapping ingredient sets and cannot establish independent treatment effects or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supports further investigation of disease-relevant gene subsets, while enrichment of broad or non-thyroid disease pathways reflects shared signalling components rather than disease-specific efficacy.</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A focused validation sequence would begin with a chemically characterised preparation or authenticated candidate compounds, followed by concentration–response experiments in thyroid cancer models and non-malignant thyroid controls. Candidate targets should be selected using the enrichment gene lists together with expression and functional evidence. Binding or enzyme/channel assays and target perturbation would then distinguish direct engagement from downstream effects. For docking, receptor selection should use human protein identity and suitable structural domains rather than gene-name text matches alone; cofactor-aware preparation and appropriate reference compounds are necessary before poses can guide such experiments.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and the overlapping ingredient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Network pharmacology of the selected XYT core herbs identified broader thyroid-cancer-associated gene coverage than the individual-herb comparisons and shared functional themes involving oxidative stress, calcium regulation, and signalling.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t xml:space="preserve">None to declare.</w:t>
      </w:r>
    </w:p>
    <w:bookmarkEnd w:id="25"/>
    <w:bookmarkStart w:id="26" w:name="funding"/>
    <w:p>
      <w:pPr>
        <w:pStyle w:val="Heading1"/>
        <w:keepNext/>
      </w:pPr>
      <w:r>
        <w:t xml:space="preserve">Funding</w:t>
      </w:r>
    </w:p>
    <w:p>
      <w:pPr>
        <w:pStyle w:val="FirstParagraph"/>
      </w:pPr>
      <w:r>
        <w:rPr>
          <w:highlight w:val="yellow"/>
        </w:rP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[AUTHOR CONFIRM: official award wording and funder roles.]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t xml:space="preserve">[AUTHOR CONFIRM: provide individual contributions for Tao Li, Yajie Ding, Zhiyu Luo, Xing Zhang, and Pengfei Yang. Each author must review and approve the revised manuscript and accept accountability.]</w:t>
      </w:r>
    </w:p>
    <w:bookmarkEnd w:id="30"/>
    <w:bookmarkStart w:id="31" w:name="data-availability"/>
    <w:p>
      <w:pPr>
        <w:pStyle w:val="Heading1"/>
        <w:keepNext/>
      </w:pPr>
      <w:r>
        <w:t xml:space="preserve">Data Availability</w:t>
      </w:r>
    </w:p>
    <w:p>
      <w:pPr>
        <w:pStyle w:val="FirstParagraph"/>
      </w:pPr>
      <w:r>
        <w:rPr>
          <w:highlight w:val="yellow"/>
        </w:rPr>
        <w:t xml:space="preserve">The accompanying analysis package contains gene-set counts, the herb inventory, enrichment tables, figure source data, and a reproducible checking script. Additional docking preparation checks are documented separately. [AUTHOR CONFIRM: public repository/accession or a justified data-access statement for submission, including the original compound–target source table and complete docking configurations.]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2026-10-24T05:18:56Z</dcterms:created>
  <dcterms:modified xsi:type="dcterms:W3CDTF">2026-10-24T05:18:56Z</dcterms:modified>
</cp:coreProperties>
</file>

<file path=docProps/custom.xml><?xml version="1.0" encoding="utf-8"?>
<Properties xmlns="http://schemas.openxmlformats.org/officeDocument/2006/custom-properties" xmlns:vt="http://schemas.openxmlformats.org/officeDocument/2006/docPropsVTypes"/>
</file>