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核心草药研究定位与后续优化说明"/>
    <w:p>
      <w:pPr>
        <w:pStyle w:val="Heading1"/>
      </w:pPr>
      <w:r>
        <w:t xml:space="preserve">2026-10-24 </w:t>
      </w:r>
      <w:r>
        <w:rPr>
          <w:rFonts w:hint="eastAsia"/>
        </w:rPr>
        <w:t xml:space="preserve">核心草药研究定位与后续优化说明</w:t>
      </w:r>
    </w:p>
    <w:bookmarkStart w:id="9" w:name="本轮采用的研究前提"/>
    <w:p>
      <w:pPr>
        <w:pStyle w:val="Heading2"/>
      </w:pPr>
      <w:r>
        <w:rPr>
          <w:rFonts w:hint="eastAsia"/>
        </w:rPr>
        <w:t xml:space="preserve">本轮采用的研究前提</w:t>
      </w:r>
    </w:p>
    <w:p>
      <w:pPr>
        <w:pStyle w:val="FirstParagraph"/>
      </w:pPr>
      <w:r>
        <w:rPr>
          <w:rFonts w:hint="eastAsia"/>
        </w:rPr>
        <w:t xml:space="preserve">根据作者说明，本研究从方剂中选取治疗甲状腺疾病的核心草药开展网络药理学，分析对象是选取的核心草药组合。研究不以完整临床处方逐味复现为目标。</w:t>
      </w:r>
    </w:p>
    <w:p>
      <w:pPr>
        <w:pStyle w:val="BodyText"/>
      </w:pPr>
      <w:r>
        <w:rPr>
          <w:rFonts w:hint="eastAsia"/>
        </w:rPr>
        <w:t xml:space="preserve">上一版将正文整方介绍与实际分析输入直接对照，并据此认定“方剂组成有问题”，没有充分考虑这一选药设计。</w:t>
      </w:r>
      <w:r>
        <w:rPr>
          <w:rFonts w:hint="eastAsia"/>
          <w:b/>
          <w:bCs/>
        </w:rPr>
        <w:t xml:space="preserve">本轮撤回该项判断，以及由此提出的处方核对、白毛夏枯草误纳和必须重算</w:t>
      </w:r>
      <w:r>
        <w:rPr>
          <w:b/>
          <w:bCs/>
        </w:rPr>
        <w:t xml:space="preserve"> XYT </w:t>
      </w:r>
      <w:r>
        <w:rPr>
          <w:rFonts w:hint="eastAsia"/>
          <w:b/>
          <w:bCs/>
        </w:rPr>
        <w:t xml:space="preserve">的要求。</w:t>
      </w:r>
      <w:r>
        <w:t xml:space="preserve"> </w:t>
      </w:r>
      <w:r>
        <w:rPr>
          <w:rFonts w:hint="eastAsia"/>
        </w:rPr>
        <w:t xml:space="preserve">本版以作者确认的核心草药选择为前提继续优化；这不等于另行完成了选药依据的文献系统验证。</w:t>
      </w:r>
    </w:p>
    <w:p>
      <w:pPr>
        <w:pStyle w:val="BodyText"/>
      </w:pPr>
      <w:r>
        <w:rPr>
          <w:rFonts w:hint="eastAsia"/>
        </w:rPr>
        <w:t xml:space="preserve">本说明取代</w:t>
      </w:r>
      <w:r>
        <w:t xml:space="preserve"> </w:t>
      </w:r>
      <w:r>
        <w:rPr>
          <w:rStyle w:val="VerbatimChar"/>
          <w:rFonts w:hint="eastAsia"/>
        </w:rPr>
        <w:t xml:space="preserve">20261023_02_审查与修改报告</w:t>
      </w:r>
      <w:r>
        <w:t xml:space="preserve"> </w:t>
      </w:r>
      <w:r>
        <w:rPr>
          <w:rFonts w:hint="eastAsia"/>
        </w:rPr>
        <w:t xml:space="preserve">中关于处方身份未确认、输入不一致及相应重算要求的意见。旧文件保留为历史版本，请优先阅读</w:t>
      </w:r>
      <w:r>
        <w:t xml:space="preserve"> </w:t>
      </w:r>
      <w:r>
        <w:rPr>
          <w:rStyle w:val="VerbatimChar"/>
        </w:rPr>
        <w:t xml:space="preserve">20261024</w:t>
      </w:r>
      <w:r>
        <w:t xml:space="preserve"> </w:t>
      </w:r>
      <w:r>
        <w:rPr>
          <w:rFonts w:hint="eastAsia"/>
        </w:rPr>
        <w:t xml:space="preserve">文件。</w:t>
      </w:r>
    </w:p>
    <w:bookmarkEnd w:id="9"/>
    <w:bookmarkStart w:id="10" w:name="已完成的优化"/>
    <w:p>
      <w:pPr>
        <w:pStyle w:val="Heading2"/>
      </w:pPr>
      <w:r>
        <w:rPr>
          <w:rFonts w:hint="eastAsia"/>
        </w:rPr>
        <w:t xml:space="preserve">已完成的优化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统一研究对象。</w:t>
      </w:r>
      <w:r>
        <w:t xml:space="preserve"> </w:t>
      </w:r>
      <w:r>
        <w:rPr>
          <w:rFonts w:hint="eastAsia"/>
        </w:rPr>
        <w:t xml:space="preserve">标题、摘要、引言、方法、讨论、结论和图注均定义：XYT</w:t>
      </w:r>
      <w:r>
        <w:t xml:space="preserve"> </w:t>
      </w:r>
      <w:r>
        <w:rPr>
          <w:rFonts w:hint="eastAsia"/>
        </w:rPr>
        <w:t xml:space="preserve">指从小瘿汤处方背景中选取的核心草药组合。删除“provisional</w:t>
      </w:r>
      <w:r>
        <w:t xml:space="preserve"> dataset”“unreconciled </w:t>
      </w:r>
      <w:r>
        <w:rPr>
          <w:rFonts w:hint="eastAsia"/>
        </w:rPr>
        <w:t xml:space="preserve">inventory”等表述，图中删除相应星号。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恢复研究论文叙述。</w:t>
      </w:r>
      <w:r>
        <w:t xml:space="preserve"> </w:t>
      </w:r>
      <w:r>
        <w:rPr>
          <w:rFonts w:hint="eastAsia"/>
        </w:rPr>
        <w:t xml:space="preserve">上一版较多使用核查报告式表述，本版围绕研究目的、实际分析方法、主要结果和生物学解释展开。处方核查过程不再充当研究发现。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完善方法的可复核性。</w:t>
      </w:r>
      <w:r>
        <w:t xml:space="preserve"> </w:t>
      </w:r>
      <w:r>
        <w:rPr>
          <w:rFonts w:hint="eastAsia"/>
        </w:rPr>
        <w:t xml:space="preserve">保留实际药材输入标签、CID</w:t>
      </w:r>
      <w:r>
        <w:t xml:space="preserve"> </w:t>
      </w:r>
      <w:r>
        <w:rPr>
          <w:rFonts w:hint="eastAsia"/>
        </w:rPr>
        <w:t xml:space="preserve">匹配、Gene_Value</w:t>
      </w:r>
      <w:r>
        <w:t xml:space="preserve"> </w:t>
      </w:r>
      <w:r>
        <w:rPr>
          <w:rFonts w:hint="eastAsia"/>
        </w:rPr>
        <w:t xml:space="preserve">筛选、疾病基因集合、BH</w:t>
      </w:r>
      <w:r>
        <w:t xml:space="preserve"> </w:t>
      </w:r>
      <w:r>
        <w:rPr>
          <w:rFonts w:hint="eastAsia"/>
        </w:rPr>
        <w:t xml:space="preserve">校正和</w:t>
      </w:r>
      <w:r>
        <w:t xml:space="preserve"> GO/KEGG </w:t>
      </w:r>
      <w:r>
        <w:rPr>
          <w:rFonts w:hint="eastAsia"/>
        </w:rPr>
        <w:t xml:space="preserve">展示规则。没有凭空补写未执行的</w:t>
      </w:r>
      <w:r>
        <w:t xml:space="preserve"> OB/DL </w:t>
      </w:r>
      <w:r>
        <w:rPr>
          <w:rFonts w:hint="eastAsia"/>
        </w:rPr>
        <w:t xml:space="preserve">筛选或假定数据库日期。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强化结果而不过度推断。</w:t>
      </w:r>
      <w:r>
        <w:t xml:space="preserve"> </w:t>
      </w:r>
      <w:r>
        <w:rPr>
          <w:rFonts w:hint="eastAsia"/>
        </w:rPr>
        <w:t xml:space="preserve">三组共同使用</w:t>
      </w:r>
      <w:r>
        <w:t xml:space="preserve"> 12,987 </w:t>
      </w:r>
      <w:r>
        <w:rPr>
          <w:rFonts w:hint="eastAsia"/>
        </w:rPr>
        <w:t xml:space="preserve">个疾病相关基因；成分相关基因总数为</w:t>
      </w:r>
      <w:r>
        <w:t xml:space="preserve"> </w:t>
      </w:r>
      <w:r>
        <w:rPr>
          <w:rFonts w:hint="eastAsia"/>
        </w:rPr>
        <w:t xml:space="preserve">107、1,094、2,131，交集为</w:t>
      </w:r>
      <w:r>
        <w:t xml:space="preserve"> </w:t>
      </w:r>
      <w:r>
        <w:rPr>
          <w:rFonts w:hint="eastAsia"/>
        </w:rPr>
        <w:t xml:space="preserve">78、842、1,595。突出</w:t>
      </w:r>
      <w:r>
        <w:t xml:space="preserve"> XYT </w:t>
      </w:r>
      <w:r>
        <w:rPr>
          <w:rFonts w:hint="eastAsia"/>
        </w:rPr>
        <w:t xml:space="preserve">的绝对覆盖范围，同时提供明确分母的比例</w:t>
      </w:r>
      <w:r>
        <w:t xml:space="preserve"> 72.9%、77.0%、74.8%。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重构讨论。</w:t>
      </w:r>
      <w:r>
        <w:t xml:space="preserve"> </w:t>
      </w:r>
      <w:r>
        <w:rPr>
          <w:rFonts w:hint="eastAsia"/>
        </w:rPr>
        <w:t xml:space="preserve">重点讨论氧化应激、钙调控、甲状腺癌通路及共享成分；区分基因数、GeneRatio</w:t>
      </w:r>
      <w:r>
        <w:t xml:space="preserve"> </w:t>
      </w:r>
      <w:r>
        <w:rPr>
          <w:rFonts w:hint="eastAsia"/>
        </w:rPr>
        <w:t xml:space="preserve">和疗效。将</w:t>
      </w:r>
      <w:r>
        <w:t xml:space="preserve"> ZBM/XKC </w:t>
      </w:r>
      <w:r>
        <w:rPr>
          <w:rFonts w:hint="eastAsia"/>
        </w:rPr>
        <w:t xml:space="preserve">与组合的比较解释为相互重叠的草药集合比较，不强行作为独立治疗组。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明确后续验证路径。</w:t>
      </w:r>
      <w:r>
        <w:t xml:space="preserve"> </w:t>
      </w:r>
      <w:r>
        <w:rPr>
          <w:rFonts w:hint="eastAsia"/>
        </w:rPr>
        <w:t xml:space="preserve">从成分表征、甲状腺癌细胞模型及非恶性对照，到靶点结合/功能实验和靶点扰动，说明计算结果如何转化为可验证的研究问题。未声称这些实验已经完成。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保留已核实的统计和引文修正。</w:t>
      </w:r>
      <w:r>
        <w:t xml:space="preserve"> </w:t>
      </w:r>
      <w:r>
        <w:rPr>
          <w:rFonts w:hint="eastAsia"/>
        </w:rPr>
        <w:t xml:space="preserve">保留正确的</w:t>
      </w:r>
      <w:r>
        <w:t xml:space="preserve"> Venn </w:t>
      </w:r>
      <w:r>
        <w:rPr>
          <w:rFonts w:hint="eastAsia"/>
        </w:rPr>
        <w:t xml:space="preserve">集合数、BH</w:t>
      </w:r>
      <w:r>
        <w:t xml:space="preserve"> P </w:t>
      </w:r>
      <w:r>
        <w:rPr>
          <w:rFonts w:hint="eastAsia"/>
        </w:rPr>
        <w:t xml:space="preserve">值、GeneRatio</w:t>
      </w:r>
      <w:r>
        <w:t xml:space="preserve"> </w:t>
      </w:r>
      <w:r>
        <w:rPr>
          <w:rFonts w:hint="eastAsia"/>
        </w:rPr>
        <w:t xml:space="preserve">分母和参考文献编号/DOI。继续区分其他肿瘤或桥本甲状腺炎文献与本研究甲状腺癌机制证据。</w:t>
      </w:r>
    </w:p>
    <w:bookmarkEnd w:id="10"/>
    <w:bookmarkStart w:id="12" w:name="独立于选药设计仍需处理的内容"/>
    <w:p>
      <w:pPr>
        <w:pStyle w:val="Heading2"/>
      </w:pPr>
      <w:r>
        <w:rPr>
          <w:rFonts w:hint="eastAsia"/>
        </w:rPr>
        <w:t xml:space="preserve">独立于选药设计、仍需处理的内容</w:t>
      </w:r>
    </w:p>
    <w:p>
      <w:pPr>
        <w:pStyle w:val="FirstParagraph"/>
      </w:pPr>
      <w:r>
        <w:rPr>
          <w:rFonts w:hint="eastAsia"/>
        </w:rPr>
        <w:t xml:space="preserve">以下事项并不由“核心草药来自方剂”这一前提解决，因此没有恢复原稿中的过度结论：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受体身份：</w:t>
      </w:r>
      <w:r>
        <w:t xml:space="preserve"> </w:t>
      </w:r>
      <w:hyperlink r:id="rId11">
        <w:r>
          <w:rPr>
            <w:rStyle w:val="Hyperlink"/>
          </w:rPr>
          <w:t xml:space="preserve">RCSB 4P5A</w:t>
        </w:r>
      </w:hyperlink>
      <w:r>
        <w:t xml:space="preserve"> </w:t>
      </w:r>
      <w:r>
        <w:rPr>
          <w:rFonts w:hint="eastAsia"/>
        </w:rPr>
        <w:t xml:space="preserve">对应细菌</w:t>
      </w:r>
      <w:r>
        <w:t xml:space="preserve"> </w:t>
      </w:r>
      <w:r>
        <w:rPr>
          <w:rFonts w:hint="eastAsia"/>
        </w:rPr>
        <w:t xml:space="preserve">ThyX/PolB，不能作为人</w:t>
      </w:r>
      <w:r>
        <w:t xml:space="preserve"> POLB </w:t>
      </w:r>
      <w:r>
        <w:rPr>
          <w:rFonts w:hint="eastAsia"/>
        </w:rPr>
        <w:t xml:space="preserve">的结构证据；该结果继续排除。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补充对接流程：</w:t>
      </w:r>
      <w:r>
        <w:t xml:space="preserve"> </w:t>
      </w:r>
      <w:r>
        <w:rPr>
          <w:rFonts w:hint="eastAsia"/>
        </w:rPr>
        <w:t xml:space="preserve">现有本地日志显示使用</w:t>
      </w:r>
      <w:r>
        <w:t xml:space="preserve"> smina。6UNI </w:t>
      </w:r>
      <w:r>
        <w:rPr>
          <w:rFonts w:hint="eastAsia"/>
        </w:rPr>
        <w:t xml:space="preserve">准备流程去除了</w:t>
      </w:r>
      <w:r>
        <w:t xml:space="preserve"> </w:t>
      </w:r>
      <w:r>
        <w:rPr>
          <w:rFonts w:hint="eastAsia"/>
        </w:rPr>
        <w:t xml:space="preserve">haem，自动定位参考也混合了多种非蛋白成分。9AYG</w:t>
      </w:r>
      <w:r>
        <w:t xml:space="preserve"> </w:t>
      </w:r>
      <w:r>
        <w:rPr>
          <w:rFonts w:hint="eastAsia"/>
        </w:rPr>
        <w:t xml:space="preserve">的定位参考尚不能证明对接到了经过验证的拮抗剂位点。因此保留数值为探索性输出，不以之声称“稳定结合”“抑制靶点”或整方疗效排名。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共享化合物：</w:t>
      </w:r>
      <w:r>
        <w:t xml:space="preserve"> </w:t>
      </w:r>
      <w:r>
        <w:t xml:space="preserve">β-sitosterol </w:t>
      </w:r>
      <w:r>
        <w:rPr>
          <w:rFonts w:hint="eastAsia"/>
        </w:rPr>
        <w:t xml:space="preserve">是三个集合共有的同一化合物。相同配体和受体的重复对接差异不能归因为草药来源。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方法信息补全：</w:t>
      </w:r>
      <w:r>
        <w:t xml:space="preserve"> </w:t>
      </w:r>
      <w:r>
        <w:t xml:space="preserve">Gene_Value </w:t>
      </w:r>
      <w:r>
        <w:rPr>
          <w:rFonts w:hint="eastAsia"/>
        </w:rPr>
        <w:t xml:space="preserve">的来源与含义、完整数据库来源、检索条件与日期、版本及</w:t>
      </w:r>
      <w:r>
        <w:t xml:space="preserve"> ID </w:t>
      </w:r>
      <w:r>
        <w:rPr>
          <w:rFonts w:hint="eastAsia"/>
        </w:rPr>
        <w:t xml:space="preserve">映射处理仍需根据真实记录补充。未因缺少描述而否认现有草药网络分析结果。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作者信息：</w:t>
      </w:r>
      <w:r>
        <w:t xml:space="preserve"> </w:t>
      </w:r>
      <w:r>
        <w:rPr>
          <w:rFonts w:hint="eastAsia"/>
        </w:rPr>
        <w:t xml:space="preserve">作者单位、具体贡献、研究地点和时间等仍以黄色提示保留，避免代作者编写不存在的信息。</w:t>
      </w:r>
    </w:p>
    <w:p>
      <w:pPr>
        <w:pStyle w:val="FirstParagraph"/>
      </w:pPr>
      <w:r>
        <w:rPr>
          <w:rFonts w:hint="eastAsia"/>
        </w:rPr>
        <w:t xml:space="preserve">对接问题的本地证据见</w:t>
      </w:r>
      <w:r>
        <w:t xml:space="preserve"> </w:t>
      </w:r>
      <w:r>
        <w:rPr>
          <w:rStyle w:val="VerbatimChar"/>
        </w:rPr>
        <w:t xml:space="preserve">20261024_03_support/20261024_docking_audit.csv</w:t>
      </w:r>
      <w:r>
        <w:rPr>
          <w:rFonts w:hint="eastAsia"/>
        </w:rPr>
        <w:t xml:space="preserve">；较详细的既有证据保留在前一版报告的对接章节。本轮未进行新的对接或富集重算，也未重新开展网络药理学源数据库采集。</w:t>
      </w:r>
    </w:p>
    <w:bookmarkEnd w:id="12"/>
    <w:bookmarkStart w:id="13" w:name="交付内容"/>
    <w:p>
      <w:pPr>
        <w:pStyle w:val="Heading2"/>
      </w:pPr>
      <w:r>
        <w:rPr>
          <w:rFonts w:hint="eastAsia"/>
        </w:rPr>
        <w:t xml:space="preserve">交付内容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20261024_01_article_revised.docx</w:t>
      </w:r>
      <w:r>
        <w:rPr>
          <w:rFonts w:hint="eastAsia"/>
        </w:rPr>
        <w:t xml:space="preserve">：新版英文</w:t>
      </w:r>
      <w:r>
        <w:t xml:space="preserve"> Word </w:t>
      </w:r>
      <w:r>
        <w:rPr>
          <w:rFonts w:hint="eastAsia"/>
        </w:rPr>
        <w:t xml:space="preserve">工作稿。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20261024_01_article_revised.md</w:t>
      </w:r>
      <w:r>
        <w:rPr>
          <w:rFonts w:hint="eastAsia"/>
        </w:rPr>
        <w:t xml:space="preserve">：同版可编辑文本。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20261024_02_本轮修改说明.docx/.md</w:t>
      </w:r>
      <w:r>
        <w:rPr>
          <w:rFonts w:hint="eastAsia"/>
        </w:rPr>
        <w:t xml:space="preserve">：本说明。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20261024_03_support/</w:t>
      </w:r>
      <w:r>
        <w:rPr>
          <w:rFonts w:hint="eastAsia"/>
        </w:rPr>
        <w:t xml:space="preserve">：去除处方质疑标记的新图、图源数据、核对表及脚本。</w:t>
      </w:r>
    </w:p>
    <w:p>
      <w:pPr>
        <w:pStyle w:val="FirstParagraph"/>
      </w:pPr>
      <w:r>
        <w:rPr>
          <w:rFonts w:hint="eastAsia"/>
        </w:rPr>
        <w:t xml:space="preserve">正文约</w:t>
      </w:r>
      <w:r>
        <w:t xml:space="preserve"> 2,140 </w:t>
      </w:r>
      <w:r>
        <w:rPr>
          <w:rFonts w:hint="eastAsia"/>
        </w:rPr>
        <w:t xml:space="preserve">词（含图注与作者提示），主图</w:t>
      </w:r>
      <w:r>
        <w:t xml:space="preserve"> 3 </w:t>
      </w:r>
      <w:r>
        <w:rPr>
          <w:rFonts w:hint="eastAsia"/>
        </w:rPr>
        <w:t xml:space="preserve">幅、参考文献</w:t>
      </w:r>
      <w:r>
        <w:t xml:space="preserve"> 20 </w:t>
      </w:r>
      <w:r>
        <w:rPr>
          <w:rFonts w:hint="eastAsia"/>
        </w:rPr>
        <w:t xml:space="preserve">条。药材输入与基础分析结果保持不变。新版已按作者确认的核心草药研究设计继续优化；剩余提示主要集中于可重复性细节、对接验证和投稿信息。</w:t>
      </w:r>
    </w:p>
    <w:bookmarkEnd w:id="13"/>
    <w:bookmarkEnd w:id="14"/>
    <w:sectPr>
      <w:footerReference w:type="default" r:id="rId9"/>
      <w:footnotePr>
        <w:numRestart w:val="eachSect"/>
      </w:footnotePr>
      <w:pgSz w:w="11909" w:h="16834"/>
      <w:pgMar w:top="1224" w:bottom="122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Noto Sans CJK SC" w:hAnsi="Noto Sans CJK SC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Noto Sans CJK SC" w:hAnsi="Noto Sans CJK SC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/>
    </w:pPr>
    <w:rPr>
      <w:rFonts w:ascii="Noto Sans CJK SC" w:hAnsi="Noto Sans CJK SC" w:eastAsia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rcsb.org/structure/4P5A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rcsb.org/structure/4P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2026-10-24T05:18:56Z</dcterms:created>
  <dcterms:modified xsi:type="dcterms:W3CDTF">2026-10-24T05:18:56Z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