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第三轮生信与审稿复核记录"/>
    <w:p>
      <w:pPr>
        <w:pStyle w:val="Heading1"/>
      </w:pPr>
      <w:r>
        <w:rPr>
          <w:rFonts w:hint="eastAsia"/>
        </w:rPr>
        <w:t xml:space="preserve">第三轮生信与审稿复核记录</w:t>
      </w:r>
    </w:p>
    <w:p>
      <w:pPr>
        <w:pStyle w:val="FirstParagraph"/>
      </w:pPr>
      <w:r>
        <w:rPr>
          <w:rFonts w:hint="eastAsia"/>
        </w:rPr>
        <w:t xml:space="preserve">对象：</w:t>
      </w:r>
      <w:r>
        <w:rPr>
          <w:rStyle w:val="VerbatimChar"/>
        </w:rPr>
        <w:t xml:space="preserve">20261024_01_article_revised.docx</w:t>
      </w:r>
      <w:r>
        <w:t xml:space="preserve"> </w:t>
      </w:r>
      <w:r>
        <w:rPr>
          <w:rFonts w:hint="eastAsia"/>
        </w:rPr>
        <w:t xml:space="preserve">及同版文本；新版：</w:t>
      </w:r>
      <w:r>
        <w:rPr>
          <w:rStyle w:val="VerbatimChar"/>
        </w:rPr>
        <w:t xml:space="preserve">20261024_04_article_reviewed.docx</w:t>
      </w:r>
      <w:r>
        <w:rPr>
          <w:rFonts w:hint="eastAsia"/>
        </w:rPr>
        <w:t xml:space="preserve">。日期：2026-10-24。</w:t>
      </w:r>
    </w:p>
    <w:p>
      <w:pPr>
        <w:pStyle w:val="BodyText"/>
      </w:pPr>
      <w:r>
        <w:rPr>
          <w:rFonts w:hint="eastAsia"/>
        </w:rPr>
        <w:t xml:space="preserve">本轮继续采用作者确认的“从方剂选取核心草药开展网络药理学”设计，不重新质疑方剂组成，不要求因整方与核心草药的差别重算。</w:t>
      </w:r>
    </w:p>
    <w:bookmarkStart w:id="9" w:name="结论"/>
    <w:p>
      <w:pPr>
        <w:pStyle w:val="Heading2"/>
      </w:pPr>
      <w:r>
        <w:rPr>
          <w:rFonts w:hint="eastAsia"/>
        </w:rPr>
        <w:t xml:space="preserve">结论</w:t>
      </w:r>
    </w:p>
    <w:p>
      <w:pPr>
        <w:pStyle w:val="FirstParagraph"/>
      </w:pPr>
      <w:r>
        <w:rPr>
          <w:rFonts w:hint="eastAsia"/>
        </w:rPr>
        <w:t xml:space="preserve">稿件仍有能够直接修正的报告和解释问题。本轮补查了成分进入分析的数量、三组基因集合的关系，以及</w:t>
      </w:r>
      <w:r>
        <w:t xml:space="preserve"> GO/KEGG </w:t>
      </w:r>
      <w:r>
        <w:rPr>
          <w:rFonts w:hint="eastAsia"/>
        </w:rPr>
        <w:t xml:space="preserve">的实际注释背景，已直接写入新版。基础分析数值没有被替换；未执行新的对接或更换富集背景后重跑分析。</w:t>
      </w:r>
    </w:p>
    <w:bookmarkEnd w:id="9"/>
    <w:bookmarkStart w:id="18" w:name="本轮新增的核查与修改"/>
    <w:p>
      <w:pPr>
        <w:pStyle w:val="Heading2"/>
      </w:pPr>
      <w:r>
        <w:rPr>
          <w:rFonts w:hint="eastAsia"/>
        </w:rPr>
        <w:t xml:space="preserve">本轮新增的核查与修改</w:t>
      </w:r>
    </w:p>
    <w:bookmarkStart w:id="10" w:name="区分所有成分与实际连接疾病靶点的成分"/>
    <w:p>
      <w:pPr>
        <w:pStyle w:val="Heading3"/>
      </w:pPr>
      <w:r>
        <w:t xml:space="preserve">1. </w:t>
      </w:r>
      <w:r>
        <w:rPr>
          <w:rFonts w:hint="eastAsia"/>
        </w:rPr>
        <w:t xml:space="preserve">区分“所有成分”与“实际连接疾病靶点的成分”</w:t>
      </w:r>
    </w:p>
    <w:p>
      <w:pPr>
        <w:pStyle w:val="FirstParagraph"/>
      </w:pPr>
      <w:r>
        <w:rPr>
          <w:rFonts w:hint="eastAsia"/>
        </w:rPr>
        <w:t xml:space="preserve">上一版只给出总</w:t>
      </w:r>
      <w:r>
        <w:t xml:space="preserve"> CID </w:t>
      </w:r>
      <w:r>
        <w:rPr>
          <w:rFonts w:hint="eastAsia"/>
        </w:rPr>
        <w:t xml:space="preserve">数，容易被读作这些成分都参与了疾病靶点分析。实际按各组原始成分表去重计数如下：</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rPr>
                <w:rFonts w:hint="eastAsia"/>
              </w:rPr>
              <w:t xml:space="preserve">集合</w:t>
            </w:r>
          </w:p>
        </w:tc>
        <w:tc>
          <w:tcPr/>
          <w:p>
            <w:pPr>
              <w:pStyle w:val="Compact"/>
              <w:jc w:val="right"/>
            </w:pPr>
            <w:r>
              <w:rPr>
                <w:rFonts w:hint="eastAsia"/>
              </w:rPr>
              <w:t xml:space="preserve">全部非空</w:t>
            </w:r>
            <w:r>
              <w:t xml:space="preserve"> CID</w:t>
            </w:r>
          </w:p>
        </w:tc>
        <w:tc>
          <w:tcPr/>
          <w:p>
            <w:pPr>
              <w:pStyle w:val="Compact"/>
              <w:jc w:val="right"/>
            </w:pPr>
            <w:r>
              <w:rPr>
                <w:rFonts w:hint="eastAsia"/>
              </w:rPr>
              <w:t xml:space="preserve">有保留基因关联的</w:t>
            </w:r>
            <w:r>
              <w:t xml:space="preserve"> CID</w:t>
            </w:r>
          </w:p>
        </w:tc>
        <w:tc>
          <w:tcPr/>
          <w:p>
            <w:pPr>
              <w:pStyle w:val="Compact"/>
              <w:jc w:val="right"/>
            </w:pPr>
            <w:r>
              <w:rPr>
                <w:rFonts w:hint="eastAsia"/>
              </w:rPr>
              <w:t xml:space="preserve">至少关联一个疾病交集基因的</w:t>
            </w:r>
            <w:r>
              <w:t xml:space="preserve"> CID</w:t>
            </w:r>
          </w:p>
        </w:tc>
      </w:tr>
      <w:tr>
        <w:tc>
          <w:tcPr/>
          <w:p>
            <w:pPr>
              <w:pStyle w:val="Compact"/>
            </w:pPr>
            <w:r>
              <w:t xml:space="preserve">ZBM</w:t>
            </w:r>
          </w:p>
        </w:tc>
        <w:tc>
          <w:tcPr/>
          <w:p>
            <w:pPr>
              <w:pStyle w:val="Compact"/>
              <w:jc w:val="right"/>
            </w:pPr>
            <w:r>
              <w:t xml:space="preserve">16</w:t>
            </w:r>
          </w:p>
        </w:tc>
        <w:tc>
          <w:tcPr/>
          <w:p>
            <w:pPr>
              <w:pStyle w:val="Compact"/>
              <w:jc w:val="right"/>
            </w:pPr>
            <w:r>
              <w:t xml:space="preserve">8</w:t>
            </w:r>
          </w:p>
        </w:tc>
        <w:tc>
          <w:tcPr/>
          <w:p>
            <w:pPr>
              <w:pStyle w:val="Compact"/>
              <w:jc w:val="right"/>
            </w:pPr>
            <w:r>
              <w:t xml:space="preserve">8</w:t>
            </w:r>
          </w:p>
        </w:tc>
      </w:tr>
      <w:tr>
        <w:tc>
          <w:tcPr/>
          <w:p>
            <w:pPr>
              <w:pStyle w:val="Compact"/>
            </w:pPr>
            <w:r>
              <w:t xml:space="preserve">XKC</w:t>
            </w:r>
          </w:p>
        </w:tc>
        <w:tc>
          <w:tcPr/>
          <w:p>
            <w:pPr>
              <w:pStyle w:val="Compact"/>
              <w:jc w:val="right"/>
            </w:pPr>
            <w:r>
              <w:t xml:space="preserve">68</w:t>
            </w:r>
          </w:p>
        </w:tc>
        <w:tc>
          <w:tcPr/>
          <w:p>
            <w:pPr>
              <w:pStyle w:val="Compact"/>
              <w:jc w:val="right"/>
            </w:pPr>
            <w:r>
              <w:t xml:space="preserve">57</w:t>
            </w:r>
          </w:p>
        </w:tc>
        <w:tc>
          <w:tcPr/>
          <w:p>
            <w:pPr>
              <w:pStyle w:val="Compact"/>
              <w:jc w:val="right"/>
            </w:pPr>
            <w:r>
              <w:t xml:space="preserve">57</w:t>
            </w:r>
          </w:p>
        </w:tc>
      </w:tr>
      <w:tr>
        <w:tc>
          <w:tcPr/>
          <w:p>
            <w:pPr>
              <w:pStyle w:val="Compact"/>
            </w:pPr>
            <w:r>
              <w:t xml:space="preserve">XYT</w:t>
            </w:r>
          </w:p>
        </w:tc>
        <w:tc>
          <w:tcPr/>
          <w:p>
            <w:pPr>
              <w:pStyle w:val="Compact"/>
              <w:jc w:val="right"/>
            </w:pPr>
            <w:r>
              <w:t xml:space="preserve">803</w:t>
            </w:r>
          </w:p>
        </w:tc>
        <w:tc>
          <w:tcPr/>
          <w:p>
            <w:pPr>
              <w:pStyle w:val="Compact"/>
              <w:jc w:val="right"/>
            </w:pPr>
            <w:r>
              <w:t xml:space="preserve">501</w:t>
            </w:r>
          </w:p>
        </w:tc>
        <w:tc>
          <w:tcPr/>
          <w:p>
            <w:pPr>
              <w:pStyle w:val="Compact"/>
              <w:jc w:val="right"/>
            </w:pPr>
            <w:r>
              <w:t xml:space="preserve">492</w:t>
            </w:r>
          </w:p>
        </w:tc>
      </w:tr>
    </w:tbl>
    <w:p>
      <w:pPr>
        <w:pStyle w:val="BodyText"/>
      </w:pPr>
      <w:r>
        <w:rPr>
          <w:rFonts w:hint="eastAsia"/>
          <w:b/>
          <w:bCs/>
        </w:rPr>
        <w:t xml:space="preserve">已改：</w:t>
      </w:r>
      <w:r>
        <w:t xml:space="preserve"> </w:t>
      </w:r>
      <w:r>
        <w:rPr>
          <w:rFonts w:hint="eastAsia"/>
        </w:rPr>
        <w:t xml:space="preserve">方法说明三个阶段的计数规则，结果同时报告三个阶段。没有将“数据库成分”称作经过实验验证的活性成分。计数来源及可重复脚本在本轮</w:t>
      </w:r>
      <w:r>
        <w:t xml:space="preserve"> support </w:t>
      </w:r>
      <w:r>
        <w:rPr>
          <w:rFonts w:hint="eastAsia"/>
        </w:rPr>
        <w:t xml:space="preserve">目录。</w:t>
      </w:r>
    </w:p>
    <w:bookmarkEnd w:id="10"/>
    <w:bookmarkStart w:id="11" w:name="三组疾病交集存在严格包含关系"/>
    <w:p>
      <w:pPr>
        <w:pStyle w:val="Heading3"/>
      </w:pPr>
      <w:r>
        <w:t xml:space="preserve">2. </w:t>
      </w:r>
      <w:r>
        <w:rPr>
          <w:rFonts w:hint="eastAsia"/>
        </w:rPr>
        <w:t xml:space="preserve">三组疾病交集存在严格包含关系</w:t>
      </w:r>
    </w:p>
    <w:p>
      <w:pPr>
        <w:pStyle w:val="FirstParagraph"/>
      </w:pPr>
      <w:r>
        <w:rPr>
          <w:rFonts w:hint="eastAsia"/>
        </w:rPr>
        <w:t xml:space="preserve">通过逐基因集合比较，ZBM</w:t>
      </w:r>
      <w:r>
        <w:t xml:space="preserve"> </w:t>
      </w:r>
      <w:r>
        <w:rPr>
          <w:rFonts w:hint="eastAsia"/>
        </w:rPr>
        <w:t xml:space="preserve">的全部</w:t>
      </w:r>
      <w:r>
        <w:t xml:space="preserve"> 78 </w:t>
      </w:r>
      <w:r>
        <w:rPr>
          <w:rFonts w:hint="eastAsia"/>
        </w:rPr>
        <w:t xml:space="preserve">个交集基因和</w:t>
      </w:r>
      <w:r>
        <w:t xml:space="preserve"> XKC </w:t>
      </w:r>
      <w:r>
        <w:rPr>
          <w:rFonts w:hint="eastAsia"/>
        </w:rPr>
        <w:t xml:space="preserve">的全部</w:t>
      </w:r>
      <w:r>
        <w:t xml:space="preserve"> 842 </w:t>
      </w:r>
      <w:r>
        <w:rPr>
          <w:rFonts w:hint="eastAsia"/>
        </w:rPr>
        <w:t xml:space="preserve">个交集基因都包含在</w:t>
      </w:r>
      <w:r>
        <w:t xml:space="preserve"> XYT </w:t>
      </w:r>
      <w:r>
        <w:rPr>
          <w:rFonts w:hint="eastAsia"/>
        </w:rPr>
        <w:t xml:space="preserve">的</w:t>
      </w:r>
      <w:r>
        <w:t xml:space="preserve"> 1,595 </w:t>
      </w:r>
      <w:r>
        <w:rPr>
          <w:rFonts w:hint="eastAsia"/>
        </w:rPr>
        <w:t xml:space="preserve">个交集基因中；ZBM</w:t>
      </w:r>
      <w:r>
        <w:t xml:space="preserve"> </w:t>
      </w:r>
      <w:r>
        <w:rPr>
          <w:rFonts w:hint="eastAsia"/>
        </w:rPr>
        <w:t xml:space="preserve">与</w:t>
      </w:r>
      <w:r>
        <w:t xml:space="preserve"> XKC </w:t>
      </w:r>
      <w:r>
        <w:rPr>
          <w:rFonts w:hint="eastAsia"/>
        </w:rPr>
        <w:t xml:space="preserve">则不是完全相同的集合。</w:t>
      </w:r>
    </w:p>
    <w:p>
      <w:pPr>
        <w:pStyle w:val="BodyText"/>
      </w:pPr>
      <w:r>
        <w:rPr>
          <w:rFonts w:hint="eastAsia"/>
          <w:b/>
          <w:bCs/>
        </w:rPr>
        <w:t xml:space="preserve">已改：</w:t>
      </w:r>
      <w:r>
        <w:t xml:space="preserve"> </w:t>
      </w:r>
      <w:r>
        <w:rPr>
          <w:rFonts w:hint="eastAsia"/>
        </w:rPr>
        <w:t xml:space="preserve">摘要、结果、讨论和结论明确这是嵌套集合的描述性比较。XYT</w:t>
      </w:r>
      <w:r>
        <w:t xml:space="preserve"> </w:t>
      </w:r>
      <w:r>
        <w:rPr>
          <w:rFonts w:hint="eastAsia"/>
        </w:rPr>
        <w:t xml:space="preserve">覆盖更广是可报告的结果，但不能据此证明独立疗效优势或协同作用。将引言中“characterise</w:t>
      </w:r>
      <w:r>
        <w:t xml:space="preserve"> their </w:t>
      </w:r>
      <w:r>
        <w:rPr>
          <w:rFonts w:hint="eastAsia"/>
        </w:rPr>
        <w:t xml:space="preserve">contributions”改成描述各自注释特征，避免暗示做过边际贡献分解或剔除单味草药的实验。</w:t>
      </w:r>
    </w:p>
    <w:bookmarkEnd w:id="11"/>
    <w:bookmarkStart w:id="12" w:name="从结果文件恢复实际注释背景与输入分母"/>
    <w:p>
      <w:pPr>
        <w:pStyle w:val="Heading3"/>
      </w:pPr>
      <w:r>
        <w:t xml:space="preserve">3. </w:t>
      </w:r>
      <w:r>
        <w:rPr>
          <w:rFonts w:hint="eastAsia"/>
        </w:rPr>
        <w:t xml:space="preserve">从结果文件恢复实际注释背景与输入分母</w:t>
      </w:r>
    </w:p>
    <w:p>
      <w:pPr>
        <w:pStyle w:val="FirstParagraph"/>
      </w:pPr>
      <w:r>
        <w:rPr>
          <w:rFonts w:hint="eastAsia"/>
        </w:rPr>
        <w:t xml:space="preserve">上一版将有效背景大小列为待补信息；本轮直接从各行</w:t>
      </w:r>
      <w:r>
        <w:t xml:space="preserve"> BgRatio </w:t>
      </w:r>
      <w:r>
        <w:rPr>
          <w:rFonts w:hint="eastAsia"/>
        </w:rPr>
        <w:t xml:space="preserve">恢复，避免要求作者重复提供已有数据。</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rPr>
                <w:rFonts w:hint="eastAsia"/>
              </w:rPr>
              <w:t xml:space="preserve">注释类别</w:t>
            </w:r>
          </w:p>
        </w:tc>
        <w:tc>
          <w:tcPr/>
          <w:p>
            <w:pPr>
              <w:pStyle w:val="Compact"/>
              <w:jc w:val="right"/>
            </w:pPr>
            <w:r>
              <w:rPr>
                <w:rFonts w:hint="eastAsia"/>
              </w:rPr>
              <w:t xml:space="preserve">背景基因数</w:t>
            </w:r>
          </w:p>
        </w:tc>
        <w:tc>
          <w:tcPr/>
          <w:p>
            <w:pPr>
              <w:pStyle w:val="Compact"/>
              <w:jc w:val="right"/>
            </w:pPr>
            <w:r>
              <w:t xml:space="preserve">ZBM </w:t>
            </w:r>
            <w:r>
              <w:rPr>
                <w:rFonts w:hint="eastAsia"/>
              </w:rPr>
              <w:t xml:space="preserve">注释输入数</w:t>
            </w:r>
          </w:p>
        </w:tc>
        <w:tc>
          <w:tcPr/>
          <w:p>
            <w:pPr>
              <w:pStyle w:val="Compact"/>
              <w:jc w:val="right"/>
            </w:pPr>
            <w:r>
              <w:t xml:space="preserve">XKC </w:t>
            </w:r>
            <w:r>
              <w:rPr>
                <w:rFonts w:hint="eastAsia"/>
              </w:rPr>
              <w:t xml:space="preserve">注释输入数</w:t>
            </w:r>
          </w:p>
        </w:tc>
        <w:tc>
          <w:tcPr/>
          <w:p>
            <w:pPr>
              <w:pStyle w:val="Compact"/>
              <w:jc w:val="right"/>
            </w:pPr>
            <w:r>
              <w:t xml:space="preserve">XYT </w:t>
            </w:r>
            <w:r>
              <w:rPr>
                <w:rFonts w:hint="eastAsia"/>
              </w:rPr>
              <w:t xml:space="preserve">注释输入数</w:t>
            </w:r>
          </w:p>
        </w:tc>
      </w:tr>
      <w:tr>
        <w:tc>
          <w:tcPr/>
          <w:p>
            <w:pPr>
              <w:pStyle w:val="Compact"/>
            </w:pPr>
            <w:r>
              <w:t xml:space="preserve">GO BP</w:t>
            </w:r>
          </w:p>
        </w:tc>
        <w:tc>
          <w:tcPr/>
          <w:p>
            <w:pPr>
              <w:pStyle w:val="Compact"/>
              <w:jc w:val="right"/>
            </w:pPr>
            <w:r>
              <w:t xml:space="preserve">18,888</w:t>
            </w:r>
          </w:p>
        </w:tc>
        <w:tc>
          <w:tcPr/>
          <w:p>
            <w:pPr>
              <w:pStyle w:val="Compact"/>
              <w:jc w:val="right"/>
            </w:pPr>
            <w:r>
              <w:t xml:space="preserve">78</w:t>
            </w:r>
          </w:p>
        </w:tc>
        <w:tc>
          <w:tcPr/>
          <w:p>
            <w:pPr>
              <w:pStyle w:val="Compact"/>
              <w:jc w:val="right"/>
            </w:pPr>
            <w:r>
              <w:t xml:space="preserve">835</w:t>
            </w:r>
          </w:p>
        </w:tc>
        <w:tc>
          <w:tcPr/>
          <w:p>
            <w:pPr>
              <w:pStyle w:val="Compact"/>
              <w:jc w:val="right"/>
            </w:pPr>
            <w:r>
              <w:t xml:space="preserve">1,582</w:t>
            </w:r>
          </w:p>
        </w:tc>
      </w:tr>
      <w:tr>
        <w:tc>
          <w:tcPr/>
          <w:p>
            <w:pPr>
              <w:pStyle w:val="Compact"/>
            </w:pPr>
            <w:r>
              <w:t xml:space="preserve">GO MF</w:t>
            </w:r>
          </w:p>
        </w:tc>
        <w:tc>
          <w:tcPr/>
          <w:p>
            <w:pPr>
              <w:pStyle w:val="Compact"/>
              <w:jc w:val="right"/>
            </w:pPr>
            <w:r>
              <w:t xml:space="preserve">18,522</w:t>
            </w:r>
          </w:p>
        </w:tc>
        <w:tc>
          <w:tcPr/>
          <w:p>
            <w:pPr>
              <w:pStyle w:val="Compact"/>
              <w:jc w:val="right"/>
            </w:pPr>
            <w:r>
              <w:t xml:space="preserve">78</w:t>
            </w:r>
          </w:p>
        </w:tc>
        <w:tc>
          <w:tcPr/>
          <w:p>
            <w:pPr>
              <w:pStyle w:val="Compact"/>
              <w:jc w:val="right"/>
            </w:pPr>
            <w:r>
              <w:t xml:space="preserve">840</w:t>
            </w:r>
          </w:p>
        </w:tc>
        <w:tc>
          <w:tcPr/>
          <w:p>
            <w:pPr>
              <w:pStyle w:val="Compact"/>
              <w:jc w:val="right"/>
            </w:pPr>
            <w:r>
              <w:t xml:space="preserve">1,588</w:t>
            </w:r>
          </w:p>
        </w:tc>
      </w:tr>
      <w:tr>
        <w:tc>
          <w:tcPr/>
          <w:p>
            <w:pPr>
              <w:pStyle w:val="Compact"/>
            </w:pPr>
            <w:r>
              <w:t xml:space="preserve">GO CC</w:t>
            </w:r>
          </w:p>
        </w:tc>
        <w:tc>
          <w:tcPr/>
          <w:p>
            <w:pPr>
              <w:pStyle w:val="Compact"/>
              <w:jc w:val="right"/>
            </w:pPr>
            <w:r>
              <w:t xml:space="preserve">19,894</w:t>
            </w:r>
          </w:p>
        </w:tc>
        <w:tc>
          <w:tcPr/>
          <w:p>
            <w:pPr>
              <w:pStyle w:val="Compact"/>
              <w:jc w:val="right"/>
            </w:pPr>
            <w:r>
              <w:t xml:space="preserve">78</w:t>
            </w:r>
          </w:p>
        </w:tc>
        <w:tc>
          <w:tcPr/>
          <w:p>
            <w:pPr>
              <w:pStyle w:val="Compact"/>
              <w:jc w:val="right"/>
            </w:pPr>
            <w:r>
              <w:t xml:space="preserve">839</w:t>
            </w:r>
          </w:p>
        </w:tc>
        <w:tc>
          <w:tcPr/>
          <w:p>
            <w:pPr>
              <w:pStyle w:val="Compact"/>
              <w:jc w:val="right"/>
            </w:pPr>
            <w:r>
              <w:t xml:space="preserve">1,587</w:t>
            </w:r>
          </w:p>
        </w:tc>
      </w:tr>
      <w:tr>
        <w:tc>
          <w:tcPr/>
          <w:p>
            <w:pPr>
              <w:pStyle w:val="Compact"/>
            </w:pPr>
            <w:r>
              <w:t xml:space="preserve">KEGG</w:t>
            </w:r>
          </w:p>
        </w:tc>
        <w:tc>
          <w:tcPr/>
          <w:p>
            <w:pPr>
              <w:pStyle w:val="Compact"/>
              <w:jc w:val="right"/>
            </w:pPr>
            <w:r>
              <w:t xml:space="preserve">8,859</w:t>
            </w:r>
          </w:p>
        </w:tc>
        <w:tc>
          <w:tcPr/>
          <w:p>
            <w:pPr>
              <w:pStyle w:val="Compact"/>
              <w:jc w:val="right"/>
            </w:pPr>
            <w:r>
              <w:t xml:space="preserve">74</w:t>
            </w:r>
          </w:p>
        </w:tc>
        <w:tc>
          <w:tcPr/>
          <w:p>
            <w:pPr>
              <w:pStyle w:val="Compact"/>
              <w:jc w:val="right"/>
            </w:pPr>
            <w:r>
              <w:t xml:space="preserve">724</w:t>
            </w:r>
          </w:p>
        </w:tc>
        <w:tc>
          <w:tcPr/>
          <w:p>
            <w:pPr>
              <w:pStyle w:val="Compact"/>
              <w:jc w:val="right"/>
            </w:pPr>
            <w:r>
              <w:t xml:space="preserve">1,346</w:t>
            </w:r>
          </w:p>
        </w:tc>
      </w:tr>
    </w:tbl>
    <w:p>
      <w:pPr>
        <w:pStyle w:val="BodyText"/>
      </w:pPr>
      <w:r>
        <w:rPr>
          <w:rFonts w:hint="eastAsia"/>
          <w:b/>
          <w:bCs/>
        </w:rPr>
        <w:t xml:space="preserve">已改：</w:t>
      </w:r>
      <w:r>
        <w:t xml:space="preserve"> </w:t>
      </w:r>
      <w:r>
        <w:rPr>
          <w:rFonts w:hint="eastAsia"/>
        </w:rPr>
        <w:t xml:space="preserve">数值补入方法和结果，删去对应的背景大小待确认提示。上述分母是结果中的有效注释集合，不能由分母差额直接断言具体哪些基因“映射失败”；基因映射日志及数据库版本仍需真实记录。</w:t>
      </w:r>
    </w:p>
    <w:bookmarkEnd w:id="12"/>
    <w:bookmarkStart w:id="13" w:name="对全部已导出行复算原始-p-值"/>
    <w:p>
      <w:pPr>
        <w:pStyle w:val="Heading3"/>
      </w:pPr>
      <w:r>
        <w:t xml:space="preserve">4. </w:t>
      </w:r>
      <w:r>
        <w:rPr>
          <w:rFonts w:hint="eastAsia"/>
        </w:rPr>
        <w:t xml:space="preserve">对全部已导出行复算原始</w:t>
      </w:r>
      <w:r>
        <w:t xml:space="preserve"> P </w:t>
      </w:r>
      <w:r>
        <w:rPr>
          <w:rFonts w:hint="eastAsia"/>
        </w:rPr>
        <w:t xml:space="preserve">值</w:t>
      </w:r>
    </w:p>
    <w:p>
      <w:pPr>
        <w:pStyle w:val="FirstParagraph"/>
      </w:pPr>
      <w:r>
        <w:rPr>
          <w:rFonts w:hint="eastAsia"/>
        </w:rPr>
        <w:t xml:space="preserve">使用</w:t>
      </w:r>
      <w:r>
        <w:t xml:space="preserve"> scipy.stats.hypergeom.sf(k−1, N, M, </w:t>
      </w:r>
      <w:r>
        <w:rPr>
          <w:rFonts w:hint="eastAsia"/>
        </w:rPr>
        <w:t xml:space="preserve">n)，其中</w:t>
      </w:r>
      <w:r>
        <w:t xml:space="preserve"> k </w:t>
      </w:r>
      <w:r>
        <w:rPr>
          <w:rFonts w:hint="eastAsia"/>
        </w:rPr>
        <w:t xml:space="preserve">和</w:t>
      </w:r>
      <w:r>
        <w:t xml:space="preserve"> n </w:t>
      </w:r>
      <w:r>
        <w:rPr>
          <w:rFonts w:hint="eastAsia"/>
        </w:rPr>
        <w:t xml:space="preserve">来自</w:t>
      </w:r>
      <w:r>
        <w:t xml:space="preserve"> </w:t>
      </w:r>
      <w:r>
        <w:rPr>
          <w:rFonts w:hint="eastAsia"/>
        </w:rPr>
        <w:t xml:space="preserve">GeneRatio，M</w:t>
      </w:r>
      <w:r>
        <w:t xml:space="preserve"> </w:t>
      </w:r>
      <w:r>
        <w:rPr>
          <w:rFonts w:hint="eastAsia"/>
        </w:rPr>
        <w:t xml:space="preserve">和</w:t>
      </w:r>
      <w:r>
        <w:t xml:space="preserve"> N </w:t>
      </w:r>
      <w:r>
        <w:rPr>
          <w:rFonts w:hint="eastAsia"/>
        </w:rPr>
        <w:t xml:space="preserve">来自</w:t>
      </w:r>
      <w:r>
        <w:t xml:space="preserve"> </w:t>
      </w:r>
      <w:r>
        <w:rPr>
          <w:rFonts w:hint="eastAsia"/>
        </w:rPr>
        <w:t xml:space="preserve">BgRatio，逐行复核</w:t>
      </w:r>
      <w:r>
        <w:t xml:space="preserve"> 10,276 </w:t>
      </w:r>
      <w:r>
        <w:rPr>
          <w:rFonts w:hint="eastAsia"/>
        </w:rPr>
        <w:t xml:space="preserve">条导出结果。与已保存原始</w:t>
      </w:r>
      <w:r>
        <w:t xml:space="preserve"> P </w:t>
      </w:r>
      <w:r>
        <w:rPr>
          <w:rFonts w:hint="eastAsia"/>
        </w:rPr>
        <w:t xml:space="preserve">值的最大绝对差小于</w:t>
      </w:r>
      <w:r>
        <w:t xml:space="preserve"> 2×10⁻¹⁶。</w:t>
      </w:r>
    </w:p>
    <w:p>
      <w:pPr>
        <w:pStyle w:val="BodyText"/>
      </w:pPr>
      <w:r>
        <w:rPr>
          <w:rFonts w:hint="eastAsia"/>
          <w:b/>
          <w:bCs/>
        </w:rPr>
        <w:t xml:space="preserve">结论边界：</w:t>
      </w:r>
      <w:r>
        <w:t xml:space="preserve"> </w:t>
      </w:r>
      <w:r>
        <w:rPr>
          <w:rFonts w:hint="eastAsia"/>
        </w:rPr>
        <w:t xml:space="preserve">这证明已保存行的数字与超几何检验一致；不证明成分–靶点关联真实，不证明背景选择最适合研究问题，也不等于复算了全部</w:t>
      </w:r>
      <w:r>
        <w:t xml:space="preserve"> BH </w:t>
      </w:r>
      <w:r>
        <w:rPr>
          <w:rFonts w:hint="eastAsia"/>
        </w:rPr>
        <w:t xml:space="preserve">调整值。因为完整的过滤前检验集合未取得，本轮保留原</w:t>
      </w:r>
      <w:r>
        <w:t xml:space="preserve"> </w:t>
      </w:r>
      <w:r>
        <w:rPr>
          <w:rFonts w:hint="eastAsia"/>
        </w:rPr>
        <w:t xml:space="preserve">p.adjust，不声称独立复现全部多重检验校正。</w:t>
      </w:r>
    </w:p>
    <w:p>
      <w:pPr>
        <w:pStyle w:val="BodyText"/>
      </w:pPr>
      <w:r>
        <w:rPr>
          <w:rFonts w:hint="eastAsia"/>
        </w:rPr>
        <w:t xml:space="preserve">配套</w:t>
      </w:r>
      <w:r>
        <w:t xml:space="preserve"> CSV </w:t>
      </w:r>
      <w:r>
        <w:rPr>
          <w:rFonts w:hint="eastAsia"/>
        </w:rPr>
        <w:t xml:space="preserve">另附由</w:t>
      </w:r>
      <w:r>
        <w:t xml:space="preserve"> GeneRatio/BgRatio </w:t>
      </w:r>
      <w:r>
        <w:rPr>
          <w:rFonts w:hint="eastAsia"/>
        </w:rPr>
        <w:t xml:space="preserve">计算的</w:t>
      </w:r>
      <w:r>
        <w:t xml:space="preserve"> fold enrichment </w:t>
      </w:r>
      <w:r>
        <w:rPr>
          <w:rFonts w:hint="eastAsia"/>
        </w:rPr>
        <w:t xml:space="preserve">供核对；未把这个补充指标写成新的实验发现或据此改动原来的显著性筛选。</w:t>
      </w:r>
    </w:p>
    <w:bookmarkEnd w:id="13"/>
    <w:bookmarkStart w:id="14" w:name="补充背景选择与再次证明疾病相关的解释边界"/>
    <w:p>
      <w:pPr>
        <w:pStyle w:val="Heading3"/>
      </w:pPr>
      <w:r>
        <w:t xml:space="preserve">5. </w:t>
      </w:r>
      <w:r>
        <w:rPr>
          <w:rFonts w:hint="eastAsia"/>
        </w:rPr>
        <w:t xml:space="preserve">补充背景选择与“再次证明疾病相关”的解释边界</w:t>
      </w:r>
    </w:p>
    <w:p>
      <w:pPr>
        <w:pStyle w:val="FirstParagraph"/>
      </w:pPr>
      <w:r>
        <w:rPr>
          <w:rFonts w:hint="eastAsia"/>
        </w:rPr>
        <w:t xml:space="preserve">先将成分基因与甲状腺肿瘤基因取交集，再在这个集合中发现甲状腺癌通路富集，不能视为独立的疾病特异性验证。默认注释全基因背景也未对疾病预筛选和成分数据库可覆盖基因作条件化处理。</w:t>
      </w:r>
    </w:p>
    <w:p>
      <w:pPr>
        <w:pStyle w:val="BodyText"/>
      </w:pPr>
      <w:r>
        <w:rPr>
          <w:rFonts w:hint="eastAsia"/>
          <w:b/>
          <w:bCs/>
        </w:rPr>
        <w:t xml:space="preserve">已改：</w:t>
      </w:r>
      <w:r>
        <w:t xml:space="preserve"> </w:t>
      </w:r>
      <w:r>
        <w:rPr>
          <w:rFonts w:hint="eastAsia"/>
        </w:rPr>
        <w:t xml:space="preserve">讨论中明确这一步是功能描述；限制部分补充合理背景与疾病基因筛选敏感性分析的必要性，但不将尚未做的分析写成已完成。新增“一个集合显著而另一个未出现在显著表中，不等于两集合差异显著”的说明。</w:t>
      </w:r>
    </w:p>
    <w:bookmarkEnd w:id="14"/>
    <w:bookmarkStart w:id="15" w:name="标题与证据强度一致"/>
    <w:p>
      <w:pPr>
        <w:pStyle w:val="Heading3"/>
      </w:pPr>
      <w:r>
        <w:t xml:space="preserve">6. </w:t>
      </w:r>
      <w:r>
        <w:rPr>
          <w:rFonts w:hint="eastAsia"/>
        </w:rPr>
        <w:t xml:space="preserve">标题与证据强度一致</w:t>
      </w:r>
    </w:p>
    <w:p>
      <w:pPr>
        <w:pStyle w:val="FirstParagraph"/>
      </w:pPr>
      <w:r>
        <w:rPr>
          <w:rFonts w:hint="eastAsia"/>
        </w:rPr>
        <w:t xml:space="preserve">现有对接仍包含受体准备/定位未验证的问题，不适合与主要网络药理学结果并列为已建立的研究支柱。</w:t>
      </w:r>
    </w:p>
    <w:p>
      <w:pPr>
        <w:pStyle w:val="BodyText"/>
      </w:pPr>
      <w:r>
        <w:rPr>
          <w:rFonts w:hint="eastAsia"/>
          <w:b/>
          <w:bCs/>
        </w:rPr>
        <w:t xml:space="preserve">已改：</w:t>
      </w:r>
      <w:r>
        <w:t xml:space="preserve"> </w:t>
      </w:r>
      <w:r>
        <w:rPr>
          <w:rFonts w:hint="eastAsia"/>
        </w:rPr>
        <w:t xml:space="preserve">标题聚焦“甲状腺癌相关靶点与功能富集”；对接作为</w:t>
      </w:r>
      <w:r>
        <w:t xml:space="preserve"> ancillary docking assessment </w:t>
      </w:r>
      <w:r>
        <w:rPr>
          <w:rFonts w:hint="eastAsia"/>
        </w:rPr>
        <w:t xml:space="preserve">在正文中透明保留，未隐藏原有问题或将未验证分数提升为强结合证据。已确认的人</w:t>
      </w:r>
      <w:r>
        <w:t xml:space="preserve"> POLB/4P5A </w:t>
      </w:r>
      <w:r>
        <w:rPr>
          <w:rFonts w:hint="eastAsia"/>
        </w:rPr>
        <w:t xml:space="preserve">误配仍排除。没有虚构新的</w:t>
      </w:r>
      <w:r>
        <w:t xml:space="preserve"> docking </w:t>
      </w:r>
      <w:r>
        <w:rPr>
          <w:rFonts w:hint="eastAsia"/>
        </w:rPr>
        <w:t xml:space="preserve">分数或换用一个正确受体后沿用旧分数。</w:t>
      </w:r>
    </w:p>
    <w:bookmarkEnd w:id="15"/>
    <w:bookmarkStart w:id="17" w:name="小范围化学核查"/>
    <w:p>
      <w:pPr>
        <w:pStyle w:val="Heading3"/>
      </w:pPr>
      <w:r>
        <w:t xml:space="preserve">7. </w:t>
      </w:r>
      <w:r>
        <w:rPr>
          <w:rFonts w:hint="eastAsia"/>
        </w:rPr>
        <w:t xml:space="preserve">小范围化学核查</w:t>
      </w:r>
    </w:p>
    <w:p>
      <w:pPr>
        <w:pStyle w:val="FirstParagraph"/>
      </w:pPr>
      <w:r>
        <w:rPr>
          <w:rFonts w:hint="eastAsia"/>
        </w:rPr>
        <w:t xml:space="preserve">使用</w:t>
      </w:r>
      <w:r>
        <w:t xml:space="preserve"> RDKit </w:t>
      </w:r>
      <w:r>
        <w:rPr>
          <w:rFonts w:hint="eastAsia"/>
        </w:rPr>
        <w:t xml:space="preserve">读取三份补充对接</w:t>
      </w:r>
      <w:r>
        <w:t xml:space="preserve"> </w:t>
      </w:r>
      <w:r>
        <w:rPr>
          <w:rFonts w:hint="eastAsia"/>
        </w:rPr>
        <w:t xml:space="preserve">ligand.sdf，均得到</w:t>
      </w:r>
      <w:r>
        <w:t xml:space="preserve"> </w:t>
      </w:r>
      <w:r>
        <w:rPr>
          <w:rFonts w:hint="eastAsia"/>
        </w:rPr>
        <w:t xml:space="preserve">C29H50O，且标准化后的带立体信息</w:t>
      </w:r>
      <w:r>
        <w:t xml:space="preserve"> SMILES </w:t>
      </w:r>
      <w:r>
        <w:rPr>
          <w:rFonts w:hint="eastAsia"/>
        </w:rPr>
        <w:t xml:space="preserve">在三份文件之间一致；这支持三次使用同一输入配体。</w:t>
      </w:r>
      <w:hyperlink r:id="rId16">
        <w:r>
          <w:rPr>
            <w:rStyle w:val="Hyperlink"/>
          </w:rPr>
          <w:t xml:space="preserve">PubChem CID 222284</w:t>
        </w:r>
      </w:hyperlink>
      <w:r>
        <w:t xml:space="preserve"> </w:t>
      </w:r>
      <w:r>
        <w:rPr>
          <w:rFonts w:hint="eastAsia"/>
        </w:rPr>
        <w:t xml:space="preserve">的分子式也为</w:t>
      </w:r>
      <w:r>
        <w:t xml:space="preserve"> </w:t>
      </w:r>
      <w:r>
        <w:rPr>
          <w:rFonts w:hint="eastAsia"/>
        </w:rPr>
        <w:t xml:space="preserve">C29H50O。分子式一致不等于完成了全部立体化学、质子化及力场参数验证，正文没有超范围宣称配体处理完全合格。</w:t>
      </w:r>
    </w:p>
    <w:bookmarkEnd w:id="17"/>
    <w:bookmarkEnd w:id="18"/>
    <w:bookmarkStart w:id="19" w:name="仍需真实资料或补充分析的事项"/>
    <w:p>
      <w:pPr>
        <w:pStyle w:val="Heading2"/>
      </w:pPr>
      <w:r>
        <w:rPr>
          <w:rFonts w:hint="eastAsia"/>
        </w:rPr>
        <w:t xml:space="preserve">仍需真实资料或补充分析的事项</w:t>
      </w:r>
    </w:p>
    <w:p>
      <w:pPr>
        <w:pStyle w:val="Compact"/>
        <w:numPr>
          <w:ilvl w:val="0"/>
          <w:numId w:val="1001"/>
        </w:numPr>
      </w:pPr>
      <w:r>
        <w:t xml:space="preserve">Gene_Value &gt;80 </w:t>
      </w:r>
      <w:r>
        <w:rPr>
          <w:rFonts w:hint="eastAsia"/>
        </w:rPr>
        <w:t xml:space="preserve">的确切定义、完整成分–基因证据来源、数据库和软件版本，以及疾病检索条件；不能由下游富集结果反推这些信息。</w:t>
      </w:r>
    </w:p>
    <w:p>
      <w:pPr>
        <w:pStyle w:val="Compact"/>
        <w:numPr>
          <w:ilvl w:val="0"/>
          <w:numId w:val="1001"/>
        </w:numPr>
      </w:pPr>
      <w:r>
        <w:rPr>
          <w:rFonts w:hint="eastAsia"/>
        </w:rPr>
        <w:t xml:space="preserve">合格的对接受体准备、结合位点和参数、重对接或适当参考对照。文字修改不能替代必要的对接重算。</w:t>
      </w:r>
    </w:p>
    <w:p>
      <w:pPr>
        <w:pStyle w:val="Compact"/>
        <w:numPr>
          <w:ilvl w:val="0"/>
          <w:numId w:val="1001"/>
        </w:numPr>
      </w:pPr>
      <w:r>
        <w:rPr>
          <w:rFonts w:hint="eastAsia"/>
        </w:rPr>
        <w:t xml:space="preserve">作者单位、研究时间、作者贡献、资助正式信息和必要声明。</w:t>
      </w:r>
    </w:p>
    <w:p>
      <w:pPr>
        <w:pStyle w:val="Compact"/>
        <w:numPr>
          <w:ilvl w:val="0"/>
          <w:numId w:val="1001"/>
        </w:numPr>
      </w:pPr>
      <w:r>
        <w:rPr>
          <w:rFonts w:hint="eastAsia"/>
        </w:rPr>
        <w:t xml:space="preserve">若以特定期刊投稿，还需核对当前作者须知、近期文献要求及辅助工具使用政策。本轮没有声明已满足所有投稿规则。</w:t>
      </w:r>
    </w:p>
    <w:bookmarkEnd w:id="19"/>
    <w:bookmarkStart w:id="20" w:name="文件"/>
    <w:p>
      <w:pPr>
        <w:pStyle w:val="Heading2"/>
      </w:pPr>
      <w:r>
        <w:rPr>
          <w:rFonts w:hint="eastAsia"/>
        </w:rPr>
        <w:t xml:space="preserve">文件</w:t>
      </w:r>
    </w:p>
    <w:p>
      <w:pPr>
        <w:pStyle w:val="Compact"/>
        <w:numPr>
          <w:ilvl w:val="0"/>
          <w:numId w:val="1002"/>
        </w:numPr>
      </w:pPr>
      <w:r>
        <w:rPr>
          <w:rStyle w:val="VerbatimChar"/>
        </w:rPr>
        <w:t xml:space="preserve">20261024_04_article_reviewed.docx/.md</w:t>
      </w:r>
      <w:r>
        <w:rPr>
          <w:rFonts w:hint="eastAsia"/>
        </w:rPr>
        <w:t xml:space="preserve">：本轮最新稿，保留黄色作者信息提示。</w:t>
      </w:r>
    </w:p>
    <w:p>
      <w:pPr>
        <w:pStyle w:val="Compact"/>
        <w:numPr>
          <w:ilvl w:val="0"/>
          <w:numId w:val="1002"/>
        </w:numPr>
      </w:pPr>
      <w:r>
        <w:rPr>
          <w:rStyle w:val="VerbatimChar"/>
          <w:rFonts w:hint="eastAsia"/>
        </w:rPr>
        <w:t xml:space="preserve">20261024_05_复审与修改记录.docx/.md</w:t>
      </w:r>
      <w:r>
        <w:rPr>
          <w:rFonts w:hint="eastAsia"/>
        </w:rPr>
        <w:t xml:space="preserve">：本报告。</w:t>
      </w:r>
    </w:p>
    <w:p>
      <w:pPr>
        <w:pStyle w:val="Compact"/>
        <w:numPr>
          <w:ilvl w:val="0"/>
          <w:numId w:val="1002"/>
        </w:numPr>
      </w:pPr>
      <w:r>
        <w:rPr>
          <w:rStyle w:val="VerbatimChar"/>
        </w:rPr>
        <w:t xml:space="preserve">20261024_06_support/</w:t>
      </w:r>
      <w:r>
        <w:rPr>
          <w:rFonts w:hint="eastAsia"/>
        </w:rPr>
        <w:t xml:space="preserve">：本轮统计复核脚本、逐行结果、成分计数、集合包含关系和背景基因数。</w:t>
      </w:r>
    </w:p>
    <w:p>
      <w:pPr>
        <w:pStyle w:val="Compact"/>
        <w:numPr>
          <w:ilvl w:val="0"/>
          <w:numId w:val="1002"/>
        </w:numPr>
      </w:pPr>
      <w:r>
        <w:rPr>
          <w:rFonts w:hint="eastAsia"/>
        </w:rPr>
        <w:t xml:space="preserve">正文三张图沿用</w:t>
      </w:r>
      <w:r>
        <w:t xml:space="preserve"> </w:t>
      </w:r>
      <w:r>
        <w:rPr>
          <w:rStyle w:val="VerbatimChar"/>
        </w:rPr>
        <w:t xml:space="preserve">20261024_03_support/</w:t>
      </w:r>
      <w:r>
        <w:t xml:space="preserve"> </w:t>
      </w:r>
      <w:r>
        <w:rPr>
          <w:rFonts w:hint="eastAsia"/>
        </w:rPr>
        <w:t xml:space="preserve">中已去除处方质疑标记的图，Word</w:t>
      </w:r>
      <w:r>
        <w:t xml:space="preserve"> </w:t>
      </w:r>
      <w:r>
        <w:rPr>
          <w:rFonts w:hint="eastAsia"/>
        </w:rPr>
        <w:t xml:space="preserve">内已嵌入，不依赖外部图片才能阅读。</w:t>
      </w:r>
    </w:p>
    <w:p>
      <w:pPr>
        <w:pStyle w:val="FirstParagraph"/>
      </w:pPr>
      <w:r>
        <w:rPr>
          <w:rFonts w:hint="eastAsia"/>
        </w:rPr>
        <w:t xml:space="preserve">旧版本保留。本轮没有更改核心草药输入，也没有推翻已确认的选药设计。</w:t>
      </w:r>
    </w:p>
    <w:bookmarkEnd w:id="20"/>
    <w:bookmarkEnd w:id="21"/>
    <w:sectPr>
      <w:footerReference w:type="default" r:id="rId9"/>
      <w:footnotePr>
        <w:numRestart w:val="eachSect"/>
      </w:footnotePr>
      <w:pgSz w:w="11909" w:h="16834"/>
      <w:pgMar w:top="1224" w:bottom="1224" w:left="1224" w:right="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0" w:lineRule="auto"/>
    </w:pPr>
    <w:rPr>
      <w:rFonts w:ascii="Noto Sans CJK SC" w:hAnsi="Noto Sans CJK SC" w:eastAsia="Noto Sans CJK SC"/>
      <w:sz w:val="21"/>
    </w:rPr>
  </w:style>
  <w:style w:styleId="BodyText" w:type="paragraph">
    <w:name w:val="Body Text"/>
    <w:basedOn w:val="Normal"/>
    <w:link w:val="BodyTextChar"/>
    <w:qFormat/>
    <w:pPr>
      <w:spacing w:after="180" w:before="180" w:line="300" w:lineRule="auto"/>
    </w:pPr>
    <w:rPr>
      <w:rFonts w:ascii="Noto Sans CJK SC" w:hAnsi="Noto Sans CJK SC" w:eastAsia="Noto Sans CJK SC"/>
      <w:sz w:val="21"/>
    </w:rPr>
  </w:style>
  <w:style w:customStyle="1" w:styleId="FirstParagraph" w:type="paragraph">
    <w:name w:val="First Paragraph"/>
    <w:basedOn w:val="BodyText"/>
    <w:next w:val="BodyText"/>
    <w:qFormat/>
    <w:pPr>
      <w:spacing w:line="300" w:lineRule="auto"/>
    </w:pPr>
    <w:rPr>
      <w:rFonts w:ascii="Noto Sans CJK SC" w:hAnsi="Noto Sans CJK SC" w:eastAsia="Noto Sans CJK SC"/>
      <w:sz w:val="21"/>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 Type="http://schemas.openxmlformats.org/officeDocument/2006/relationships/hyperlink" Target="https://pubchem.ncbi.nlm.nih.gov/compound/222284"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6" Type="http://schemas.openxmlformats.org/officeDocument/2006/relationships/hyperlink" Target="https://pubchem.ncbi.nlm.nih.gov/compound/2222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2026-10-24T06:12:04Z</dcterms:created>
  <dcterms:modified xsi:type="dcterms:W3CDTF">2026-10-24T06:12:04Z</dcterms:modified>
</cp:coreProperties>
</file>

<file path=docProps/custom.xml><?xml version="1.0" encoding="utf-8"?>
<Properties xmlns="http://schemas.openxmlformats.org/officeDocument/2006/custom-properties" xmlns:vt="http://schemas.openxmlformats.org/officeDocument/2006/docPropsVTypes"/>
</file>