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highlight w:val="yellow"/>
        </w:rPr>
        <w:t xml:space="preserve">[AUTHOR CONFIRM: affiliation for Tao Li]</w:t>
      </w:r>
    </w:p>
    <w:p>
      <w:pPr>
        <w:pStyle w:val="BodyText"/>
      </w:pPr>
      <w:r>
        <w:rPr>
          <w:vertAlign w:val="superscript"/>
        </w:rPr>
        <w:t>2</w:t>
      </w:r>
      <w:r>
        <w:t>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6.</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t xml:space="preserve">None to declare.</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r>
      <w:r>
        <w:t xml:space="preserve">Jiacai Li: Supervision; writing – review and editing. </w:t>
      </w:r>
      <w:r>
        <w:rPr>
          <w:highlight w:val="yellow"/>
        </w:rPr>
        <w:t>[AUTHOR CONFIRM: provide individual contributions for Tao Li,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