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highlight w:val="yellow"/>
        </w:rPr>
        <w:t xml:space="preserve">[AUTHOR CONFIRM: affiliation for Tao Li]</w:t>
      </w:r>
    </w:p>
    <w:p>
      <w:pPr>
        <w:pStyle w:val="BodyText"/>
      </w:pPr>
      <w:r>
        <w:rPr>
          <w:vertAlign w:val="superscript"/>
        </w:rPr>
        <w:t>2</w:t>
      </w:r>
      <w:r>
        <w:t>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7.</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[AUTHOR CONFIRM: annotation versions and the handling of unmapped or one-to-many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t xml:space="preserve">None to declare.</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highlight w:val="yellow"/>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r>
      <w:r/>
      <w:r>
        <w:rPr>
          <w:highlight w:val="yellow"/>
        </w:rPr>
      </w:r>
      <w:r>
        <w:t xml:space="preserve">Tao Li: Data collection; data curation; formal analysis. Jiacai Li: Supervision; writing – review and editing. </w:t>
      </w:r>
      <w:r>
        <w:rPr>
          <w:highlight w:val="yellow"/>
        </w:rPr>
        <w:t>[AUTHOR CONFIRM: provide individual contributions for Yajie Ding, Zhiyu Luo, Xing Zhang, and Pengfei Yang. Each author must review and approve the revised manuscript and accept accountability.]</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