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5090ab4e4a7a9eb91a418e1d104778b6042b5b"/>
    <w:p>
      <w:pPr>
        <w:pStyle w:val="Heading1"/>
        <w:keepNext/>
      </w:pPr>
      <w:r>
        <w:t xml:space="preserve">Network pharmacology of core herbs selected from Xiao Ying Tang: thyroid-cancer-associated targets and functional enrichment</w:t>
      </w:r>
    </w:p>
    <w:p>
      <w:pPr>
        <w:pStyle w:val="FirstParagraph"/>
      </w:pPr>
      <w:r>
        <w:t>Tao Li</w:t>
      </w:r>
      <w:r>
        <w:rPr>
          <w:vertAlign w:val="superscript"/>
        </w:rPr>
        <w:t>1*</w:t>
      </w:r>
      <w:r>
        <w:t xml:space="preserve">, </w:t>
      </w:r>
      <w:r>
        <w:t>Jiacai Li</w:t>
      </w:r>
      <w:r>
        <w:rPr>
          <w:vertAlign w:val="superscript"/>
        </w:rPr>
        <w:t>2*</w:t>
      </w:r>
      <w:r>
        <w:t xml:space="preserve">, </w:t>
      </w:r>
      <w:r>
        <w:t>Yajie Ding</w:t>
      </w:r>
      <w:r>
        <w:rPr>
          <w:vertAlign w:val="superscript"/>
        </w:rPr>
        <w:t>3*</w:t>
      </w:r>
      <w:r>
        <w:t xml:space="preserve">, </w:t>
      </w:r>
      <w:r>
        <w:t>Zhiyu Luo</w:t>
      </w:r>
      <w:r>
        <w:rPr>
          <w:vertAlign w:val="superscript"/>
        </w:rPr>
        <w:t>4</w:t>
      </w:r>
      <w:r>
        <w:t xml:space="preserve">, </w:t>
      </w:r>
      <w:r>
        <w:t>Xing Zhang</w:t>
      </w:r>
      <w:r>
        <w:rPr>
          <w:vertAlign w:val="superscript"/>
        </w:rPr>
        <w:t>5</w:t>
      </w:r>
      <w:r>
        <w:t xml:space="preserve">, and </w:t>
      </w:r>
      <w:r>
        <w:t>Pengfei Yang</w:t>
      </w:r>
      <w:r>
        <w:rPr>
          <w:vertAlign w:val="superscript"/>
        </w:rPr>
        <w:t>6</w:t>
      </w:r>
    </w:p>
    <w:p>
      <w:pPr>
        <w:pStyle w:val="BodyText"/>
      </w:pPr>
      <w:r>
        <w:rPr>
          <w:vertAlign w:val="superscript"/>
        </w:rPr>
        <w:t xml:space="preserve">1</w:t>
      </w:r>
      <w:r>
        <w:rPr/>
        <w:t>Department of Acupuncture and Moxibustion, Affiliated Hospital of Hangzhou Normal University, Hangzhou, Zhejiang, China.</w:t>
      </w:r>
    </w:p>
    <w:p>
      <w:pPr>
        <w:pStyle w:val="BodyText"/>
      </w:pPr>
      <w:r>
        <w:rPr>
          <w:vertAlign w:val="superscript"/>
        </w:rPr>
        <w:t>2</w:t>
      </w:r>
      <w:r>
        <w:t>School of Clinical Medicine, Shanghai University of Medicine &amp; Health Sciences, Shanghai, China.</w:t>
      </w:r>
    </w:p>
    <w:p>
      <w:pPr>
        <w:pStyle w:val="BodyText"/>
      </w:pPr>
      <w:r>
        <w:rPr>
          <w:vertAlign w:val="superscript"/>
        </w:rPr>
        <w:t>3</w:t>
      </w:r>
      <w:r>
        <w:rPr/>
        <w:t>Department of Oncology, Longhua Hospital Affiliated to Shanghai University of Traditional Chinese Medicine, Shanghai, China.</w:t>
      </w:r>
    </w:p>
    <w:p>
      <w:pPr>
        <w:pStyle w:val="BodyText"/>
      </w:pPr>
      <w:r>
        <w:rPr>
          <w:vertAlign w:val="superscript"/>
        </w:rPr>
        <w:t>4</w:t>
      </w:r>
      <w:r>
        <w:rPr/>
        <w:t>Jiangsu Sanshu Biotechnology Co., Ltd., No. 259 Shibei Gaoxin Road, Tangzha Town Subdistrict, Chongchuan District, Nantong, Jiangsu, China.</w:t>
      </w:r>
      <w:r>
        <w:rPr>
          <w:highlight w:val="yellow"/>
        </w:rPr>
      </w:r>
    </w:p>
    <w:p>
      <w:pPr>
        <w:pStyle w:val="BodyText"/>
      </w:pPr>
      <w:r>
        <w:rPr>
          <w:vertAlign w:val="superscript"/>
        </w:rPr>
        <w:t>5</w:t>
      </w:r>
      <w:r>
        <w:rPr/>
        <w:t>Department of Respiratory Disease, Shuguang Hospital Affiliated to Shanghai University of Traditional Chinese Medicine, Shanghai 201203, China.</w:t>
      </w:r>
    </w:p>
    <w:p>
      <w:pPr>
        <w:pStyle w:val="BodyText"/>
      </w:pPr>
      <w:r>
        <w:rPr>
          <w:vertAlign w:val="superscript"/>
        </w:rPr>
        <w:t>6</w:t>
      </w:r>
      <w:r>
        <w:t>Clinical College of Chinese Medicine, Gansu University of Chinese Medicine, No. 35 Dingxi East Road, Chengguan District, Lanzhou City, Gansu Province, People’s Republic of China</w:t>
      </w:r>
    </w:p>
    <w:p>
      <w:pPr>
        <w:pStyle w:val="BodyText"/>
      </w:pPr>
      <w:r>
        <w:t>*Tao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r>
        <w:t>Additional author contact details: Yajie Ding, Email: dingyajie2018@163.com; Xing Zhang, Email: zhangxing2012@shutcm.edu.cn, Tel: 021-20256375.</w:t>
      </w:r>
    </w:p>
    <w:p>
      <w:pPr>
        <w:pStyle w:val="BodyText"/>
      </w:pPr>
      <w:r>
        <w:rPr>
          <w:b/>
          <w:bCs/>
          <w:color w:val="555555"/>
        </w:rPr>
        <w:t>REVIEWED WORKING DRAFT — 24 October 2026, revision 12.</w:t>
      </w:r>
      <w:r>
        <w:rPr>
          <w:color w:val="555555"/>
        </w:rPr>
        <w:t xml:space="preserve"> </w:t>
      </w:r>
      <w:r>
        <w:rPr>
          <w:color w:val="555555"/>
        </w:rPr>
        <w:t xml:space="preserve">The study investigates core herbs selected from Xiao Ying Tang for thyroid disease. XYT denotes this selected herb set throughout. Yellow-highlighted author queries concern reporting details still to be completed. The revised title emphasises the functional analysis; the unvalidated ancillary docking is reported with its limitations.</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Descriptive in silico network pharmacology study with ancillary docking assessment.</w:t>
      </w:r>
    </w:p>
    <w:p>
      <w:pPr>
        <w:pStyle w:val="BodyText"/>
      </w:pPr>
      <w:r>
        <w:rPr>
          <w:b/>
          <w:bCs/>
        </w:rPr>
        <w:t xml:space="preserve">Place &amp; duration of study:</w:t>
      </w:r>
      <w:r>
        <w:t xml:space="preserve"> </w:t>
      </w:r>
      <w:r>
        <w:rPr>
          <w:highlight w:val="yellow"/>
        </w:rPr>
        <w:t>Shanghai University of Medicine &amp; Health Sciences, Shanghai, China. [AUTHOR CONFIRM: actual study period, including the supplementary docking stage.]</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compound coverage, annotated backgrounds, and receptor preparation were checked.</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The ZBM and XKC disease-overlapping gene sets were contained within XYT. Docking outputs did not provide validated binding evidence.</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 findings identify candidate processes for experimental study; the nested gene sets do not establish comparative efficacy.</w:t>
      </w:r>
    </w:p>
    <w:p>
      <w:pPr>
        <w:pStyle w:val="BodyText"/>
      </w:pPr>
      <w:r>
        <w:rPr>
          <w:b/>
          <w:bCs/>
        </w:rPr>
        <w:t xml:space="preserve">Keywords:</w:t>
      </w:r>
      <w:r>
        <w:t xml:space="preserve"> </w:t>
      </w:r>
      <w:r>
        <w:t xml:space="preserve">Thyroid Neoplasms; Medicine, Chinese Traditional;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highlight w:val="yellow"/>
        </w:rPr>
        <w:t>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The study was conducted at Shanghai University of Medicine &amp; Health Sciences, Shanghai, China. [AUTHOR CONFIRM: actual study period.] Historical database retrieval dates and software/database versions were not documented in the available analysis records.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t>The integrated target table combined BindingDB, BATMAN-TCM known and predicted interactions (labelled Meta_Bat_Known and Meta_Bat_Predicted in the local files), Guide to PHARMACOLOGY, and TCMSP target records. The build script referenced the BindingDB September 2024 file and a UniProt identifier-mapping file labelled 2024_09_05. BindingDB, BATMAN-TCM known, and Guide to PHARMACOLOGY records were assigned Gene_Value = 100 as an inclusion flag; BATMAN-TCM prediction scores were multiplied by 100, so the &gt;80 rule retained predictions with an original score &gt;0.80. These values are not a uniform experimental-confidence scale. TCMSP target records used a differently capitalised Gene_value column and consequently had missing Gene_Value values in the merged table; they were excluded by the implemented filter. TCMSP still supplied the herb–ingredient inventory. Reconstructing targets from the source-labelled records exactly reproduced all three archived ingredient-associated gene sets (107, 1,094, and 2,131 genes). The BindingDB processing did not impose an affinity cutoff or an explicit organism filter before gene-symbol integration; therefore, these pooled associations should not all be interpreted as experimentally validated human interactions.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rPr/>
        <w:t>The archived export was labelled GeneCards-SearchResults_Thyroid_tumor.csv, indicating a thyroid-tumour search; the exact historical search syntax and retrieval date could not be recovered. As confirmed by the investigators, no filtering was applied before export. All exported gene symbols were used for the three comparisons, without a relevance-score threshold in the intersection step.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t>.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The script deduplicated input gene symbols using unique() and called bitr(fromType = "SYMBOL", toType = "ENTREZID", OrgDb = "org.Hs.eg.db") without overriding its mapping defaults. All returned Entrez identifiers were passed to enrichment; no custom one-to-many resolution or additional post-mapping deduplication was specified. The historical package and annotation versions and a separate mapping audit were not archived.</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rPr/>
        <w:t>The 4P5A entry was excluded because it represents bacterial ThyX/PolB rather than human DNA polymerase beta. The archived initial Vina script specified a 20 × 20 × 20 Å search box centred on the mean coordinates of receptor ATOM records, rounded to whole angstroms, with exhaustiveness = 32 and five CPU threads. The supplementary HTML reports recorded smina exhaustiveness = 8, num_modes = 9, and CPU-only execution. The corresponding pipeline implemented CPU-only execution with --cpu 1 and used --autobox_ligand with --autobox_add 4 for an extracted reference structure; the run logs confirmed use of this autobox branch. The scripts did not explicitly set a random seed or scoring-function override, and the historical executable versions and complete engine invocation logs were not retained.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as candidate themes.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r>
        <w:t>Zhiyu Luo is an employee of Jiangsu Sanshu Biotechnology Co., Ltd. The authors declare no conflicts of interest related to this work.</w:t>
      </w:r>
    </w:p>
    <w:bookmarkEnd w:id="25"/>
    <w:bookmarkStart w:id="26" w:name="funding"/>
    <w:p>
      <w:pPr>
        <w:pStyle w:val="Heading1"/>
        <w:keepNext/>
      </w:pPr>
      <w:r>
        <w:t xml:space="preserve">Funding</w:t>
      </w:r>
    </w:p>
    <w:p>
      <w:pPr>
        <w:pStyle w:val="FirstParagraph"/>
      </w:pPr>
      <w:r>
        <w:t xml:space="preserve">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w:t>
      </w:r>
      <w:r>
        <w:rPr>
          <w:highlight w:val="yellow"/>
        </w:rPr>
        <w:t>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[AUTHOR CONFIRM: official award wording and funder roles.]</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highlight w:val="yellow"/>
        </w:rPr>
        <w:t xml:space="preserve">The reported work analysed database records and molecular structures without recruiting human participants or using animals. [AUTHOR CONFIRM: institutional determination regarding ethics review or exemption and any documentation required by the journal.]</w:t>
      </w:r>
    </w:p>
    <w:bookmarkEnd w:id="28"/>
    <w:bookmarkStart w:id="29" w:name="disclosure"/>
    <w:p>
      <w:pPr>
        <w:pStyle w:val="Heading1"/>
        <w:keepNext/>
      </w:pPr>
      <w:r>
        <w:t xml:space="preserve">Disclosure</w:t>
      </w:r>
    </w:p>
    <w:p>
      <w:pPr>
        <w:pStyle w:val="FirstParagraph"/>
      </w:pPr>
      <w:r>
        <w:rPr>
          <w:highlight w:val="yellow"/>
        </w:rPr>
        <w:t xml:space="preserve">[AUTHOR CONFIRM: relevant non-financial disclosures and accurate disclosure of computational/editorial assistance according to the intended journal’s policy.]</w:t>
      </w:r>
    </w:p>
    <w:bookmarkEnd w:id="29"/>
    <w:bookmarkStart w:id="30" w:name="author-contributions"/>
    <w:p>
      <w:pPr>
        <w:pStyle w:val="Heading1"/>
        <w:keepNext/>
      </w:pPr>
      <w:r>
        <w:t xml:space="preserve">Author Contributions</w:t>
      </w:r>
    </w:p>
    <w:p>
      <w:pPr>
        <w:pStyle w:val="FirstParagraph"/>
      </w:pPr>
      <w:r>
        <w:rPr>
          <w:highlight w:val="yellow"/>
        </w:rPr>
      </w:r>
      <w:r/>
      <w:r>
        <w:rPr>
          <w:highlight w:val="yellow"/>
        </w:rPr>
      </w:r>
      <w:r/>
      <w:r>
        <w:rPr>
          <w:highlight w:val="yellow"/>
        </w:rPr>
      </w: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w:t>
      </w:r>
      <w:r>
        <w:rPr>
          <w:highlight w:val="yellow"/>
        </w:rPr>
        <w:t>[AUTHOR CONFIRM: all authors have reviewed and approved the final manuscript and agree to be accountable for the work.]</w:t>
      </w:r>
    </w:p>
    <w:bookmarkEnd w:id="30"/>
    <w:bookmarkStart w:id="31" w:name="data-availability"/>
    <w:p>
      <w:pPr>
        <w:pStyle w:val="Heading1"/>
        <w:keepNext/>
      </w:pPr>
      <w:r>
        <w:t xml:space="preserve">Data Availability</w:t>
      </w:r>
    </w:p>
    <w:p>
      <w:pPr>
        <w:pStyle w:val="FirstParagraph"/>
      </w:pPr>
      <w:r>
        <w:rPr>
          <w:highlight w:val="yellow"/>
        </w:rPr>
        <w:t xml:space="preserve">The accompanying analysis package contains gene-set counts, the herb inventory, enrichment tables, figure source data, and a reproducible checking script. Additional docking preparation checks are documented separately. [AUTHOR CONFIRM: public repository/accession or a justified data-access statement for submission, including the original compound–target source table and complete docking configurations.]</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