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0c37ec5636777398645b31c345e193d47eb797"/>
    <w:p>
      <w:pPr>
        <w:pStyle w:val="Heading1"/>
      </w:pPr>
      <w:r>
        <w:t xml:space="preserve">Network pharmacology and independent transcriptome validation of core herbs selected from Xiao Ying Tang in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rPr>
          <w:vertAlign w:val="superscript"/>
        </w:rPr>
        <w:t xml:space="preserve">6</w:t>
      </w:r>
      <w:r>
        <w:t xml:space="preserve">Clinical College of Chinese Medicine, Gansu University of Chinese Medicine, No. 35 Dingxi East Road, Chengguan District, Lanzhou City, Gansu Province, People’s Republic of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p>
      <w:pPr>
        <w:pStyle w:val="BodyText"/>
      </w:pPr>
      <w:r>
        <w:rPr>
          <w:b/>
          <w:bCs/>
        </w:rPr>
        <w:t xml:space="preserve">REVIEWED WORKING DRAFT — 24 October 2026, revision 20.</w:t>
      </w:r>
      <w:r>
        <w:t xml:space="preserve"> </w:t>
      </w:r>
      <w:r>
        <w:t xml:space="preserve">The study investigates core herbs selected from Xiao Ying Tang for thyroid disease. XYT denotes this selected herb set throughout. The revised title emphasises the functional analysis; the unvalidated ancillary docking is reported with its limitations. The in-text citation numbers for the GSE60542 source study and limma were corrected and the corresponding reference entry completed. The exploratory docking pose figure (Figure 4) and the transcriptome-validation composite figure (Figure 5) were added to the main text; the bacterial 4P5A panel was excluded. Corresponding authorship was changed to Xing Zhang.</w:t>
      </w:r>
    </w:p>
    <w:bookmarkEnd w:id="9"/>
    <w:bookmarkStart w:id="10" w:name="abstract"/>
    <w:p>
      <w:pPr>
        <w:pStyle w:val="Heading1"/>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 and to assess these prespecified gene sets in an independent thyroid-cancer transcriptome.</w:t>
      </w:r>
    </w:p>
    <w:p>
      <w:pPr>
        <w:pStyle w:val="BodyText"/>
      </w:pPr>
      <w:r>
        <w:rPr>
          <w:b/>
          <w:bCs/>
        </w:rPr>
        <w:t xml:space="preserve">Study design:</w:t>
      </w:r>
      <w:r>
        <w:t xml:space="preserve"> </w:t>
      </w:r>
      <w:r>
        <w:t xml:space="preserve">Descriptive in silico network pharmacology study with independent paired transcriptome validation and ancillary docking assessment.</w:t>
      </w:r>
    </w:p>
    <w:p>
      <w:pPr>
        <w:pStyle w:val="BodyText"/>
      </w:pPr>
      <w:r>
        <w:rPr>
          <w:b/>
          <w:bCs/>
        </w:rPr>
        <w:t xml:space="preserve">Methodology:</w:t>
      </w:r>
      <w:r>
        <w:t xml:space="preserve"> </w:t>
      </w:r>
      <w:r>
        <w:t xml:space="preserve">Database-derived compound–gene associations were intersected with a GeneCards-derived disease set. GO and KEGG over-representation analyses used Benjamini–Hochberg adjustment. GSE60542/GPL570 was analysed using the submitter-normalized fRMA matrix. Primary papillary thyroid cancer and normal thyroid samples were restricted to 24 patients with both tissue types; repeated blocks were averaged within patient and tissue. A paired limma model was fitted across all measured genes, followed by fixed-background Fisher tests for the prespecified XYT, XKC, and ZBM sets.</w:t>
      </w:r>
    </w:p>
    <w:p>
      <w:pPr>
        <w:pStyle w:val="BodyText"/>
      </w:pPr>
      <w:r>
        <w:rPr>
          <w:b/>
          <w:bCs/>
        </w:rPr>
        <w:t xml:space="preserve">Results:</w:t>
      </w:r>
      <w:r>
        <w:t xml:space="preserve"> </w:t>
      </w:r>
      <w:r>
        <w:t xml:space="preserve">The disease-associated intersections contained 78, 842, and 1,595 genes for ZBM, XKC, and XYT, respectively, with the individual-herb intersections nested within XYT. The transcriptome analysis measured 20,848 genes and identified 666 genes at FDR &lt;0.05 and |log2FC| ≥1. XYT was enriched among differentially expressed genes in the all-measured background (odds ratio 2.67, FDR =6.08 × 10</w:t>
      </w:r>
      <w:r>
        <w:rPr>
          <w:vertAlign w:val="superscript"/>
        </w:rPr>
        <w:t xml:space="preserve">-16</w:t>
      </w:r>
      <w:r>
        <w:t xml:space="preserve">) and disease-measured background (1.80, 5.31 × 10</w:t>
      </w:r>
      <w:r>
        <w:rPr>
          <w:vertAlign w:val="superscript"/>
        </w:rPr>
        <w:t xml:space="preserve">-7</w:t>
      </w:r>
      <w:r>
        <w:t xml:space="preserve">). XKC showed corresponding enrichment (3.05, 2.44 × 10</w:t>
      </w:r>
      <w:r>
        <w:rPr>
          <w:vertAlign w:val="superscript"/>
        </w:rPr>
        <w:t xml:space="preserve">-13</w:t>
      </w:r>
      <w:r>
        <w:t xml:space="preserve">; 2.08, 5.31 × 10</w:t>
      </w:r>
      <w:r>
        <w:rPr>
          <w:vertAlign w:val="superscript"/>
        </w:rPr>
        <w:t xml:space="preserve">-7</w:t>
      </w:r>
      <w:r>
        <w:t xml:space="preserve">), whereas ZBM was not significant. POLB, CACNA1H, and CYP3A4 did not meet the prespecified differential-expression threshold.</w:t>
      </w:r>
    </w:p>
    <w:p>
      <w:pPr>
        <w:pStyle w:val="BodyText"/>
      </w:pPr>
      <w:r>
        <w:rPr>
          <w:b/>
          <w:bCs/>
        </w:rPr>
        <w:t xml:space="preserve">Conclusion:</w:t>
      </w:r>
      <w:r>
        <w:t xml:space="preserve"> </w:t>
      </w:r>
      <w:r>
        <w:t xml:space="preserve">The independent transcriptome supports differential-expression enrichment of the prespecified XYT and XKC sets, but not ZBM. These results provide transcript-level association evidence rather than proof of drug action, target engagement, pathway direction, or clinical efficacy.</w:t>
      </w:r>
    </w:p>
    <w:p>
      <w:pPr>
        <w:pStyle w:val="BodyText"/>
      </w:pPr>
      <w:r>
        <w:rPr>
          <w:b/>
          <w:bCs/>
        </w:rPr>
        <w:t xml:space="preserve">Keywords:</w:t>
      </w:r>
      <w:r>
        <w:t xml:space="preserve"> </w:t>
      </w:r>
      <w:r>
        <w:t xml:space="preserve">Thyroid Neoplasms; Medicine, Chinese Traditional; Gene Ontology; Computational Biology; Transcriptome</w:t>
      </w:r>
    </w:p>
    <w:bookmarkEnd w:id="10"/>
    <w:bookmarkStart w:id="11" w:name="introduction"/>
    <w:p>
      <w:pPr>
        <w:pStyle w:val="Heading1"/>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pPr>
      <w:r>
        <w:t xml:space="preserve">Methodology</w:t>
      </w:r>
    </w:p>
    <w:p>
      <w:pPr>
        <w:pStyle w:val="FirstParagraph"/>
      </w:pPr>
      <w: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The study was conducted at Shanghai University of Medicine &amp; Health Sciences, Shanghai, China. Historical database retrieval dates and software/database versions were not documented in the available analysis records.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t xml:space="preserve">The integrated target table combined BindingDB, BATMAN-TCM known and predicted interactions (labelled Meta_Bat_Known and Meta_Bat_Predicted in the local files), Guide to PHARMACOLOGY, and TCMSP target records. The build script referenced the BindingDB September 2024 file and a UniProt identifier-mapping file labelled 2024_09_05. BindingDB, BATMAN-TCM known, and Guide to PHARMACOLOGY records were assigned Gene_Value = 100 as an inclusion flag; BATMAN-TCM prediction scores were multiplied by 100, so the &gt;80 rule retained predictions with an original score &gt;0.80. These values are not a uniform experimental-confidence scale. TCMSP target records used a differently capitalised Gene_value column and consequently had missing Gene_Value values in the merged table; they were excluded by the implemented filter. TCMSP still supplied the herb–ingredient inventory. Reconstructing targets from the source-labelled records exactly reproduced all three archived ingredient-associated gene sets (107, 1,094, and 2,131 genes). The BindingDB processing did not impose an affinity cutoff or an explicit organism filter before gene-symbol integration; therefore, these pooled associations should not all be interpreted as experimentally validated human interactions.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t xml:space="preserve">The archived export was labelled GeneCards-SearchResults_Thyroid_tumor.csv, indicating a thyroid-tumour search; the exact historical search syntax and retrieval date could not be recovered. As confirmed by the investigators, no filtering was applied before export. All exported gene symbols were used for the three comparisons, without a relevance-score threshold in the intersection step.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Independent transcriptome validation used the prespecified GEO series GSE60542 on GPL570, whose original study examined papillary thyroid carcinoma and normal thyroid and other tissue types.</w:t>
      </w:r>
      <w:r>
        <w:rPr>
          <w:vertAlign w:val="superscript"/>
        </w:rPr>
        <w:t xml:space="preserve">8</w:t>
      </w:r>
      <w:r>
        <w:t xml:space="preserve"> </w:t>
      </w:r>
      <w:r>
        <w:t xml:space="preserve">The downloaded series matrix was the submitter-provided fRMA-normalized matrix; values were treated as log2 expression and were not re-normalized. Only primary papillary thyroid cancer and normal thyroid samples were retained. Repeated blocks from the same patient and tissue type were averaged, giving 24 patients and 48 patient-by-tissue observations. GPL570 probes with one non-empty gene symbol were retained; multiple probes per gene were averaged on the log2 scale. Differential expression used limma with a patient fixed-effect design (</w:t>
      </w:r>
      <w:r>
        <w:rPr>
          <w:rStyle w:val="VerbatimChar"/>
        </w:rPr>
        <w:t xml:space="preserve">~ patient_id + tissue_group</w:t>
      </w:r>
      <w:r>
        <w:t xml:space="preserve">), normal thyroid as reference, and positive log2 fold change indicating higher tumour expression.</w:t>
      </w:r>
      <w:r>
        <w:rPr>
          <w:vertAlign w:val="superscript"/>
        </w:rPr>
        <w:t xml:space="preserve">9</w:t>
      </w:r>
      <w:r>
        <w:t xml:space="preserve"> </w:t>
      </w:r>
      <w:r>
        <w:t xml:space="preserve">The FDR was calculated across all 20,848 measured genes; the threshold was FDR &lt;0.05 and absolute log2 fold change ≥1. Enrichment of the fixed XYT, XKC, and ZBM sets used one-sided Fisher tests against all measured genes and the archived disease set intersected with measured genes. The six tests were adjusted together by Benjamini–Hochberg. This analysis did not redefine candidate sets or thresholds.</w:t>
      </w:r>
    </w:p>
    <w:p>
      <w:pPr>
        <w:pStyle w:val="BodyText"/>
      </w:pPr>
      <w:r>
        <w:t xml:space="preserve">Gene symbols were mapped to Entrez identifiers with org.Hs.eg.db, followed by GO and KEGG over-representation analysis using clusterProfiler in R.</w:t>
      </w:r>
      <w:r>
        <w:rPr>
          <w:vertAlign w:val="superscript"/>
        </w:rPr>
        <w:t xml:space="preserve">10</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The script deduplicated input gene symbols using unique() and called bitr(fromType =</w:t>
      </w:r>
      <w:r>
        <w:t xml:space="preserve"> </w:t>
      </w:r>
      <w:r>
        <w:t xml:space="preserve">“SYMBOL”</w:t>
      </w:r>
      <w:r>
        <w:t xml:space="preserve">, toType =</w:t>
      </w:r>
      <w:r>
        <w:t xml:space="preserve"> </w:t>
      </w:r>
      <w:r>
        <w:t xml:space="preserve">“ENTREZID”</w:t>
      </w:r>
      <w:r>
        <w:t xml:space="preserve">, OrgDb =</w:t>
      </w:r>
      <w:r>
        <w:t xml:space="preserve"> </w:t>
      </w:r>
      <w:r>
        <w:t xml:space="preserve">“org.Hs.eg.db”</w:t>
      </w:r>
      <w:r>
        <w:t xml:space="preserve">) without overriding its mapping defaults. All returned Entrez identifiers were passed to enrichment; no custom one-to-many resolution or additional post-mapping deduplication was specified. The historical package and annotation versions and a separate mapping audit were not archived.</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11,12</w:t>
      </w:r>
      <w:r>
        <w:t xml:space="preserve"> </w:t>
      </w:r>
      <w:r>
        <w:t xml:space="preserve">The initial screening used AutoDock Vina; supplementary docking of β-sitosterol used smina, a Vina-derived program.</w:t>
      </w:r>
      <w:r>
        <w:rPr>
          <w:vertAlign w:val="superscript"/>
        </w:rPr>
        <w:t xml:space="preserve">13,14</w:t>
      </w:r>
      <w:r>
        <w:t xml:space="preserve"> </w:t>
      </w:r>
      <w:r>
        <w:t xml:space="preserve">Receptor identity and preparation were checked before interpretation. PDB 6UNI corresponds to human CYP3A4, and 9AYG to human CaV3.2/CACNA1H in an apo state.</w:t>
      </w:r>
      <w:r>
        <w:rPr>
          <w:vertAlign w:val="superscript"/>
        </w:rPr>
        <w:t xml:space="preserve">12,15</w:t>
      </w:r>
      <w:r>
        <w:t xml:space="preserve"> </w:t>
      </w:r>
      <w:r>
        <w:t xml:space="preserve">The 4P5A entry was excluded because it represents bacterial ThyX/PolB rather than human DNA polymerase beta. The archived initial Vina script specified a 20 × 20 × 20 Å search box centred on the mean coordinates of receptor ATOM records, rounded to whole angstroms, with exhaustiveness = 32 and five CPU threads. The supplementary HTML reports recorded smina exhaustiveness = 8, num_modes = 9, and CPU-only execution. The corresponding pipeline implemented CPU-only execution with –cpu 1 and used –autobox_ligand with –autobox_add 4 for an extracted reference structure; the run logs confirmed use of this autobox branch. The scripts did not explicitly set a random seed or scoring-function override, and the historical executable versions and complete engine invocation logs were not retained. Consequently, scores were treated as exploratory outputs; no universal score threshold was used to classify binding strength or establish inhibition.</w:t>
      </w:r>
    </w:p>
    <w:bookmarkEnd w:id="12"/>
    <w:bookmarkStart w:id="28"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pPr>
      <w:r>
        <w:drawing>
          <wp:inline>
            <wp:extent cx="5334000" cy="17779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pPr>
      <w:r>
        <w:drawing>
          <wp:inline>
            <wp:extent cx="5334000" cy="613410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pPr>
      <w:r>
        <w:drawing>
          <wp:inline>
            <wp:extent cx="5334000" cy="346710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rPr>
          <w:b/>
          <w:bCs/>
        </w:rPr>
        <w:t xml:space="preserve">Independent transcriptome validation.</w:t>
      </w:r>
      <w:r>
        <w:t xml:space="preserve"> </w:t>
      </w:r>
      <w:r>
        <w:t xml:space="preserve">The final paired analysis included 24 patients, 28 primary-tumour blocks, and 27 normal-thyroid blocks, aggregated to 48 observations. The model had design rank 25 and 23 residual degrees of freedom. Of 20,848 measured genes, 666 met FDR &lt;0.05 and |log2FC| ≥1; 347 were higher and 319 lower in tumour than normal thyroid (Figure 5). XYT contained 111 differentially expressed genes among 1,518 measured genes and was enriched against all measured genes (odds ratio 2.67, P =1.01 × 10</w:t>
      </w:r>
      <w:r>
        <w:rPr>
          <w:vertAlign w:val="superscript"/>
        </w:rPr>
        <w:t xml:space="preserve">-16</w:t>
      </w:r>
      <w:r>
        <w:t xml:space="preserve">, FDR =6.08 × 10</w:t>
      </w:r>
      <w:r>
        <w:rPr>
          <w:vertAlign w:val="superscript"/>
        </w:rPr>
        <w:t xml:space="preserve">-16</w:t>
      </w:r>
      <w:r>
        <w:t xml:space="preserve">) and the disease-measured background (1.80, P =3.16 × 10</w:t>
      </w:r>
      <w:r>
        <w:rPr>
          <w:vertAlign w:val="superscript"/>
        </w:rPr>
        <w:t xml:space="preserve">-7</w:t>
      </w:r>
      <w:r>
        <w:t xml:space="preserve">, FDR =5.31 × 10</w:t>
      </w:r>
      <w:r>
        <w:rPr>
          <w:vertAlign w:val="superscript"/>
        </w:rPr>
        <w:t xml:space="preserve">-7</w:t>
      </w:r>
      <w:r>
        <w:t xml:space="preserve">). XKC contained 69 differentially expressed genes among 805 measured genes and was enriched in both backgrounds (odds ratios 3.05 and 2.08; FDR =2.44 × 10</w:t>
      </w:r>
      <w:r>
        <w:rPr>
          <w:vertAlign w:val="superscript"/>
        </w:rPr>
        <w:t xml:space="preserve">-13</w:t>
      </w:r>
      <w:r>
        <w:t xml:space="preserve"> </w:t>
      </w:r>
      <w:r>
        <w:t xml:space="preserve">and 5.31 × 10</w:t>
      </w:r>
      <w:r>
        <w:rPr>
          <w:vertAlign w:val="superscript"/>
        </w:rPr>
        <w:t xml:space="preserve">-7</w:t>
      </w:r>
      <w:r>
        <w:t xml:space="preserve">). ZBM contained 4 differentially expressed genes among 77 measured genes; enrichment was not significant (FDR =0.278 and 0.482). POLB, CACNA1H, and CYP3A4 were measured but did not meet the differential-expression threshold (log2FC =−0.070, −0.053, and −0.031, respectively). These results do not establish pharmacological direction or direct binding.</w:t>
      </w:r>
    </w:p>
    <w:p>
      <w:pPr>
        <w:pStyle w:val="BodyText"/>
      </w:pPr>
      <w:r>
        <w:drawing>
          <wp:inline>
            <wp:extent cx="5334000" cy="2411895"/>
            <wp:effectExtent b="0" l="0" r="0" t="0"/>
            <wp:docPr descr="" title="" id="23" name="Picture"/>
            <a:graphic>
              <a:graphicData uri="http://schemas.openxmlformats.org/drawingml/2006/picture">
                <pic:pic>
                  <pic:nvPicPr>
                    <pic:cNvPr descr="20261024_03_support/20261024_Figure5.png" id="24" name="Picture"/>
                    <pic:cNvPicPr>
                      <a:picLocks noChangeArrowheads="1" noChangeAspect="1"/>
                    </pic:cNvPicPr>
                  </pic:nvPicPr>
                  <pic:blipFill>
                    <a:blip r:embed="rId22"/>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Independent transcriptome validation in GSE60542 (24 paired primary papillary thyroid carcinomas vs matched normal thyroid). (A) Volcano plot of the paired limma analysis across 20,848 measured genes; dashed lines mark FDR =0.05 and |log2FC| =1. Coloured points denote measured genes in the prespecified ZBM (orange), XKC (teal), and XYT (purple) sets. (B) Odds ratios with two-sided 95% confidence intervals for enrichment of each prespecified set among differentially expressed genes, against the all-measured and disease-measured backgrounds; significance was assessed with the prespecified one-sided Fisher tests, and FDR values are from Benjamini–Hochberg adjustment across the six tests.</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(Figure 4).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p>
      <w:pPr>
        <w:pStyle w:val="BodyText"/>
      </w:pPr>
      <w:r>
        <w:drawing>
          <wp:inline>
            <wp:extent cx="5334000" cy="3913516"/>
            <wp:effectExtent b="0" l="0" r="0" t="0"/>
            <wp:docPr descr="" title="" id="26" name="Picture"/>
            <a:graphic>
              <a:graphicData uri="http://schemas.openxmlformats.org/drawingml/2006/picture">
                <pic:pic>
                  <pic:nvPicPr>
                    <pic:cNvPr descr="20261024_03_support/20261024_Figure4.png" id="27" name="Picture"/>
                    <pic:cNvPicPr>
                      <a:picLocks noChangeArrowheads="1" noChangeAspect="1"/>
                    </pic:cNvPicPr>
                  </pic:nvPicPr>
                  <pic:blipFill>
                    <a:blip r:embed="rId25"/>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Exploratory docking poses of β-sitosterol (CID 222284). (A) Human CYP3A4 (PDB 6UNI); (B) human CaV3.2/CACNA1H (PDB 9AYG). Left panels show the local view of the docked ligand (green sticks) and surrounding residues; right panels show the global receptor view. Poses correspond to the minimum supplementary smina scores of −9.12 and −9.68 kcal/mol, respectively. The bacterial 4P5A entry was excluded from human-target interpretation (see Methodology). These poses are exploratory structural outputs and are not validated binding evidence.</w:t>
      </w:r>
    </w:p>
    <w:bookmarkEnd w:id="28"/>
    <w:bookmarkStart w:id="29" w:name="discussion"/>
    <w:p>
      <w:pPr>
        <w:pStyle w:val="Heading1"/>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16</w:t>
      </w:r>
      <w:r>
        <w:t xml:space="preserve"> </w:t>
      </w:r>
      <w:r>
        <w:t xml:space="preserve">Calcium regulation is also of interest because experimental work has implicated TRPC1 in thyroid cancer cell migration and proliferation.</w:t>
      </w:r>
      <w:r>
        <w:rPr>
          <w:vertAlign w:val="superscript"/>
        </w:rPr>
        <w:t xml:space="preserve">17</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18</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19</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20</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21,22</w:t>
      </w:r>
      <w:r>
        <w:t xml:space="preserve"> </w:t>
      </w:r>
      <w:r>
        <w:t xml:space="preserve">without establishing that these pathways were modulated in the present study.</w:t>
      </w:r>
    </w:p>
    <w:p>
      <w:pPr>
        <w:pStyle w:val="BodyText"/>
      </w:pPr>
      <w:r>
        <w:t xml:space="preserve">The independent GSE60542 analysis provides a transcript-level check of the prespecified database-derived sets. XYT and XKC were enriched among genes differing between primary papillary thyroid cancer and normal thyroid, while ZBM was not. This is not a ranking of herb efficacy: the sets are nested, the candidates were defined from database and disease-gene resources, and the transcriptome comparison is observational. Expression differences do not demonstrate target engagement, reversal of tumour state, or patient benefit. Replication in independent cohorts and functional experiments are required.</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transcriptome validation used one public microarray cohort, a modest paired sample, and the submitter’s fRMA processing; it is not a treatment comparison and cannot establish causality or therapeutic response.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9"/>
    <w:bookmarkStart w:id="30" w:name="conclusion"/>
    <w:p>
      <w:pPr>
        <w:pStyle w:val="Heading1"/>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In an independent paired GSE60542 transcriptome, the prespecified XYT and XKC sets were enriched among differentially expressed genes, whereas ZBM was not. POLB, CACNA1H, and CYP3A4 did not meet the prespecified gene-level threshold. These findings provide transcript-level association evidence for prioritising experiments, but do not establish direct binding, pharmacological direction, synergy, or clinical efficacy.</w:t>
      </w:r>
    </w:p>
    <w:bookmarkEnd w:id="30"/>
    <w:bookmarkStart w:id="31"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31"/>
    <w:bookmarkStart w:id="32" w:name="funding"/>
    <w:p>
      <w:pPr>
        <w:pStyle w:val="Heading1"/>
      </w:pPr>
      <w:r>
        <w:t xml:space="preserve">Funding</w:t>
      </w:r>
    </w:p>
    <w:p>
      <w:pPr>
        <w:pStyle w:val="FirstParagraph"/>
      </w:pPr>
      <w: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32"/>
    <w:bookmarkStart w:id="33" w:name="patient-consent"/>
    <w:p>
      <w:pPr>
        <w:pStyle w:val="Heading1"/>
      </w:pPr>
      <w:r>
        <w:t xml:space="preserve">Patient Consent</w:t>
      </w:r>
    </w:p>
    <w:p>
      <w:pPr>
        <w:pStyle w:val="FirstParagraph"/>
      </w:pPr>
      <w:r>
        <w:t xml:space="preserve">Not applicable: the reported analysis did not recruit patients or use individual patient data.</w:t>
      </w:r>
    </w:p>
    <w:bookmarkEnd w:id="33"/>
    <w:bookmarkStart w:id="34" w:name="ethics-approval"/>
    <w:p>
      <w:pPr>
        <w:pStyle w:val="Heading1"/>
      </w:pPr>
      <w:r>
        <w:t xml:space="preserve">Ethics Approval</w:t>
      </w:r>
    </w:p>
    <w:p>
      <w:pPr>
        <w:pStyle w:val="FirstParagraph"/>
      </w:pPr>
      <w:r>
        <w:t xml:space="preserve">The reported work analysed database records, molecular structures, and a public de-identified GEO transcriptome without new recruitment, intervention, or identifiable patient data. No human participants or animals were newly studied.</w:t>
      </w:r>
    </w:p>
    <w:bookmarkEnd w:id="34"/>
    <w:bookmarkStart w:id="35"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All authors have reviewed and approved the final manuscript.</w:t>
      </w:r>
    </w:p>
    <w:bookmarkEnd w:id="35"/>
    <w:bookmarkStart w:id="36" w:name="data-availability"/>
    <w:p>
      <w:pPr>
        <w:pStyle w:val="Heading1"/>
      </w:pPr>
      <w:r>
        <w:t xml:space="preserve">Data Availability</w:t>
      </w:r>
    </w:p>
    <w:p>
      <w:pPr>
        <w:pStyle w:val="FirstParagraph"/>
      </w:pPr>
      <w:r>
        <w:t xml:space="preserve">Analysis results, gene lists, sample and pairing manifests, full differential-expression results, enrichment tests, and QC figures are provided as supplementary material. The transcriptome source data are publicly available from GEO under accession GSE60542; the underlying network-pharmacology source data are available from the corresponding author upon reasonable request. The analysis code is retained locally for audit and is not included in the public supplementary package.</w:t>
      </w:r>
    </w:p>
    <w:bookmarkEnd w:id="36"/>
    <w:bookmarkStart w:id="37"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2026-10-25T04:33:50Z</dcterms:created>
  <dcterms:modified xsi:type="dcterms:W3CDTF">2026-10-25T04:33:50Z</dcterms:modified>
</cp:coreProperties>
</file>

<file path=docProps/custom.xml><?xml version="1.0" encoding="utf-8"?>
<Properties xmlns="http://schemas.openxmlformats.org/officeDocument/2006/custom-properties" xmlns:vt="http://schemas.openxmlformats.org/officeDocument/2006/docPropsVTypes"/>
</file>