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专家审稿与语言修改说明"/>
    <w:p>
      <w:pPr>
        <w:pStyle w:val="Heading1"/>
      </w:pPr>
      <w:r>
        <w:rPr>
          <w:rFonts w:hint="eastAsia"/>
        </w:rPr>
        <w:t xml:space="preserve">专家审稿与语言修改说明</w:t>
      </w:r>
    </w:p>
    <w:p>
      <w:pPr>
        <w:pStyle w:val="FirstParagraph"/>
      </w:pPr>
      <w:r>
        <w:rPr>
          <w:rFonts w:hint="eastAsia"/>
        </w:rPr>
        <w:t xml:space="preserve">审阅基稿：20261025_01_article_transcriptome_figure.docx/.md。修订稿：20261025_05_article_expert_reviewed.docx/.md。英文稿为本轮修订正文；此前中文全文审阅版未同步重译，请以本轮英文稿及本说明为准。</w:t>
      </w:r>
    </w:p>
    <w:bookmarkStart w:id="9" w:name="审稿判断"/>
    <w:p>
      <w:pPr>
        <w:pStyle w:val="Heading2"/>
      </w:pPr>
      <w:r>
        <w:rPr>
          <w:rFonts w:hint="eastAsia"/>
        </w:rPr>
        <w:t xml:space="preserve">审稿判断</w:t>
      </w:r>
    </w:p>
    <w:p>
      <w:pPr>
        <w:pStyle w:val="FirstParagraph"/>
      </w:pPr>
      <w:r>
        <w:rPr>
          <w:rFonts w:hint="eastAsia"/>
        </w:rPr>
        <w:t xml:space="preserve">研究可定位为“核心草药的网络药理学分析，加上公开PTC组织表达数据的外部关联评估”。已有数据支持XYT和XKC候选集合在差异表达基因中富集，但不足以支持疗效比较、协同作用、具体通路的调控方向或直接靶点结合。新增转录组并非草药干预实验，也没有单独验证氧化应激/钙通路活动。语言修订不能替代这些证据缺口。</w:t>
      </w:r>
    </w:p>
    <w:bookmarkEnd w:id="9"/>
    <w:bookmarkStart w:id="10" w:name="本轮实质修改"/>
    <w:p>
      <w:pPr>
        <w:pStyle w:val="Heading2"/>
      </w:pPr>
      <w:r>
        <w:rPr>
          <w:rFonts w:hint="eastAsia"/>
        </w:rPr>
        <w:t xml:space="preserve">本轮实质修改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标题及正文将过强的“independent</w:t>
      </w:r>
      <w:r>
        <w:t xml:space="preserve"> transcriptome </w:t>
      </w:r>
      <w:r>
        <w:rPr>
          <w:rFonts w:hint="eastAsia"/>
        </w:rPr>
        <w:t xml:space="preserve">validation”改为“paired</w:t>
      </w:r>
      <w:r>
        <w:t xml:space="preserve"> transcriptome </w:t>
      </w:r>
      <w:r>
        <w:rPr>
          <w:rFonts w:hint="eastAsia"/>
        </w:rPr>
        <w:t xml:space="preserve">analysis/assessment”，明确是乳头状甲状腺癌队列，避免泛化至所有甲状腺癌亚型。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修正新增GEO分析与旧声明的矛盾：方法不再声称未研究患者资料；同意与伦理段说明使用公开去标识数据、无新招募或干预，不编造伦理批准或豁免记录。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修正讨论中“未做表达验证/敏感性分析”的旧表述。区分已经完成的“转录组重叠的疾病限制背景分析”和尚未完成的“GO/KEGG中基于可选靶点范围的背景敏感性分析”。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POLB不能笼统归为“不显著”：其log2FC约−0.070、BH校正P约0.00271，统计上显著但未达到预设的绝对log2FC≥1。CACNA1H和CYP3A4的校正P分别约0.273、0.338。三者共同结论为未同时满足两项差异筛选条件。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ZBM未显著不等于无效，更不等于与XYT/XKC差异显著。补充其测得基因少、差异基因仅4个、置信区间宽的解释。保留三个集合嵌套及不支持协同/疗效排名的说明。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图号按首次出现顺序调整：转录组图为Figure</w:t>
      </w:r>
      <w:r>
        <w:t xml:space="preserve"> </w:t>
      </w:r>
      <w:r>
        <w:rPr>
          <w:rFonts w:hint="eastAsia"/>
        </w:rPr>
        <w:t xml:space="preserve">4，对接图为Figure</w:t>
      </w:r>
      <w:r>
        <w:t xml:space="preserve"> </w:t>
      </w:r>
      <w:r>
        <w:rPr>
          <w:rFonts w:hint="eastAsia"/>
        </w:rPr>
        <w:t xml:space="preserve">5。保留5张原图内容。转录组火山图图注说明颜色为重叠集合的覆盖绘制顺序，不能把颜色理解为互斥分组。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补充转录组探针排除规则、42,904/54,675探针及20,848基因、R4.3.1/limma3.58.1和robust</w:t>
      </w:r>
      <w:r>
        <w:t xml:space="preserve"> empirical </w:t>
      </w:r>
      <w:r>
        <w:rPr>
          <w:rFonts w:hint="eastAsia"/>
        </w:rPr>
        <w:t xml:space="preserve">Bayes方法。新环境版本不替代历史网络药理学版本。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区分Fisher检验的方向：正文使用预设单侧P并对六项检验BH校正；图中区间为双侧精确95%CI。旧CI源CSV中的P为双侧，不应冒充主检验P。新补充表23将两类P值明确分列，保留可追溯性。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原23号补充压缩包未含新增转录组数据；已生成新的20261025_06_supplementary_material.zip，含样本清单、配对清单、全量差异结果、候选覆盖、富集检验及QC图。包内不含分析代码。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补入BATMAN-TCM及IUPHAR/BPS</w:t>
      </w:r>
      <w:r>
        <w:t xml:space="preserve"> Guide to </w:t>
      </w:r>
      <w:r>
        <w:rPr>
          <w:rFonts w:hint="eastAsia"/>
        </w:rPr>
        <w:t xml:space="preserve">PHARMACOLOGY的原始数据库文献，所有引用按首次出现顺序重新编号，共24条。</w:t>
      </w:r>
    </w:p>
    <w:bookmarkEnd w:id="10"/>
    <w:bookmarkStart w:id="11" w:name="表达修改"/>
    <w:p>
      <w:pPr>
        <w:pStyle w:val="Heading2"/>
      </w:pPr>
      <w:r>
        <w:rPr>
          <w:rFonts w:hint="eastAsia"/>
        </w:rPr>
        <w:t xml:space="preserve">表达修改</w:t>
      </w:r>
    </w:p>
    <w:p>
      <w:pPr>
        <w:pStyle w:val="FirstParagraph"/>
      </w:pPr>
      <w:r>
        <w:rPr>
          <w:rFonts w:hint="eastAsia"/>
        </w:rPr>
        <w:t xml:space="preserve">删除工作稿的过程说明与修订历史；缩短重复的“这些结果不能证明……”句群；把必要的限制放在相应结果解释或局限性中。引言聚焦问题与研究目标，结果直接报告发现，讨论解释其含义。删除“为后续研究提供重要启示”等缺少具体内容的泛化表达。保留不确定性和阴性结果，不以夸大结论来换取更流畅的文字。本轮属于学术语言编辑，不作“AI检测率”承诺。</w:t>
      </w:r>
    </w:p>
    <w:bookmarkEnd w:id="11"/>
    <w:bookmarkStart w:id="12" w:name="数值复核"/>
    <w:p>
      <w:pPr>
        <w:pStyle w:val="Heading2"/>
      </w:pPr>
      <w:r>
        <w:rPr>
          <w:rFonts w:hint="eastAsia"/>
        </w:rPr>
        <w:t xml:space="preserve">数值复核</w:t>
      </w:r>
    </w:p>
    <w:p>
      <w:pPr>
        <w:pStyle w:val="FirstParagraph"/>
      </w:pPr>
      <w:r>
        <w:rPr>
          <w:rFonts w:hint="eastAsia"/>
        </w:rPr>
        <w:t xml:space="preserve">独立复核程序重新运行通过：24对患者、48个患者×组织观测；20,848个可测基因，666个差异基因（347上调、319下调）。逐基因配对平均logFC最大绝对复算误差约2.1×10⁻¹⁴；BH最大差异约1.3×10⁻¹⁵；六项Fisher检验的列联表及P值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1863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可测候选数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差异候选数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全基因背景OR</w:t>
            </w:r>
            <w:r>
              <w:t xml:space="preserve"> / </w:t>
            </w:r>
            <w:r>
              <w:rPr>
                <w:rFonts w:hint="eastAsia"/>
              </w:rPr>
              <w:t xml:space="preserve">校正P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疾病限制背景OR</w:t>
            </w:r>
            <w:r>
              <w:t xml:space="preserve"> / </w:t>
            </w:r>
            <w:r>
              <w:rPr>
                <w:rFonts w:hint="eastAsia"/>
              </w:rPr>
              <w:t xml:space="preserve">校正P</w:t>
            </w:r>
          </w:p>
        </w:tc>
      </w:tr>
      <w:tr>
        <w:tc>
          <w:tcPr/>
          <w:p>
            <w:pPr>
              <w:pStyle w:val="Compact"/>
            </w:pPr>
            <w:r>
              <w:t xml:space="preserve">XYT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2.67 / 6.08×10⁻¹⁶</w:t>
            </w:r>
          </w:p>
        </w:tc>
        <w:tc>
          <w:tcPr/>
          <w:p>
            <w:pPr>
              <w:pStyle w:val="Compact"/>
            </w:pPr>
            <w:r>
              <w:t xml:space="preserve">1.80 / 5.31×10⁻⁷</w:t>
            </w:r>
          </w:p>
        </w:tc>
      </w:tr>
      <w:tr>
        <w:tc>
          <w:tcPr/>
          <w:p>
            <w:pPr>
              <w:pStyle w:val="Compact"/>
            </w:pPr>
            <w:r>
              <w:t xml:space="preserve">XKC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3.05 / 2.44×10⁻¹³</w:t>
            </w:r>
          </w:p>
        </w:tc>
        <w:tc>
          <w:tcPr/>
          <w:p>
            <w:pPr>
              <w:pStyle w:val="Compact"/>
            </w:pPr>
            <w:r>
              <w:t xml:space="preserve">2.08 / 5.31×10⁻⁷</w:t>
            </w:r>
          </w:p>
        </w:tc>
      </w:tr>
      <w:tr>
        <w:tc>
          <w:tcPr/>
          <w:p>
            <w:pPr>
              <w:pStyle w:val="Compact"/>
            </w:pPr>
            <w:r>
              <w:t xml:space="preserve">ZBM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1.66 / 0.278</w:t>
            </w:r>
          </w:p>
        </w:tc>
        <w:tc>
          <w:tcPr/>
          <w:p>
            <w:pPr>
              <w:pStyle w:val="Compact"/>
            </w:pPr>
            <w:r>
              <w:t xml:space="preserve">1.13 / 0.482</w:t>
            </w:r>
          </w:p>
        </w:tc>
      </w:tr>
    </w:tbl>
    <w:bookmarkEnd w:id="12"/>
    <w:bookmarkStart w:id="13" w:name="仍不能通过文字修复的限制"/>
    <w:p>
      <w:pPr>
        <w:pStyle w:val="Heading2"/>
      </w:pPr>
      <w:r>
        <w:rPr>
          <w:rFonts w:hint="eastAsia"/>
        </w:rPr>
        <w:t xml:space="preserve">仍不能通过文字修复的限制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化合物—靶点构建中BindingDB未限制物种/亲和力，预测与记录证据混合；TCMSP靶点因字段大小写问题被排除。已据实报告，未擅自修正后重算原结果。后续如纠正上游构建，必须重新生成候选集合、富集及表达重叠分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GeneCards历史查询语法、检索日期及部分旧软件/注释版本不能恢复。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对接的血红素移除、自动框参考及缺少对照重对接问题仍在；图形本身不能作为已验证结合证据。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单个PTC队列无法验证治疗反应，组织成分差异及基因间相关性可能影响结果。外部队列独立于本研究采样过程，不代表其知识与GeneCards疾病注释完全独立。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基金仅写提供支持，不推断其未参与设计/分析。作者、基金、共同第一作者顺序及通讯作者信息保留。</w:t>
      </w:r>
    </w:p>
    <w:bookmarkEnd w:id="13"/>
    <w:bookmarkStart w:id="14" w:name="新增文献核实来源"/>
    <w:p>
      <w:pPr>
        <w:pStyle w:val="Heading2"/>
      </w:pPr>
      <w:r>
        <w:rPr>
          <w:rFonts w:hint="eastAsia"/>
        </w:rPr>
        <w:t xml:space="preserve">新增文献核实来源</w:t>
      </w:r>
    </w:p>
    <w:p>
      <w:pPr>
        <w:pStyle w:val="Compact"/>
        <w:numPr>
          <w:ilvl w:val="0"/>
          <w:numId w:val="1003"/>
        </w:numPr>
      </w:pPr>
      <w:r>
        <w:t xml:space="preserve">BATMAN-TCM </w:t>
      </w:r>
      <w:r>
        <w:rPr>
          <w:rFonts w:hint="eastAsia"/>
        </w:rPr>
        <w:t xml:space="preserve">2.0：https://academic.oup.com/nar/article/52/D1/D1110/7334089</w:t>
      </w:r>
      <w:r>
        <w:t xml:space="preserve"> </w:t>
      </w:r>
      <w:r>
        <w:rPr>
          <w:rFonts w:hint="eastAsia"/>
        </w:rPr>
        <w:t xml:space="preserve">，doi:10.1093/nar/gkad926。</w:t>
      </w:r>
    </w:p>
    <w:p>
      <w:pPr>
        <w:pStyle w:val="Compact"/>
        <w:numPr>
          <w:ilvl w:val="0"/>
          <w:numId w:val="1003"/>
        </w:numPr>
      </w:pPr>
      <w:r>
        <w:t xml:space="preserve">IUPHAR/BPS Guide to PHARMACOLOGY in </w:t>
      </w:r>
      <w:r>
        <w:rPr>
          <w:rFonts w:hint="eastAsia"/>
        </w:rPr>
        <w:t xml:space="preserve">2024：https://pubmed.ncbi.nlm.nih.gov/37897341/</w:t>
      </w:r>
      <w:r>
        <w:t xml:space="preserve"> </w:t>
      </w:r>
      <w:r>
        <w:rPr>
          <w:rFonts w:hint="eastAsia"/>
        </w:rPr>
        <w:t xml:space="preserve">，doi:10.1093/nar/gkad944。</w:t>
      </w:r>
    </w:p>
    <w:p>
      <w:pPr>
        <w:pStyle w:val="FirstParagraph"/>
      </w:pPr>
      <w:r>
        <w:rPr>
          <w:rFonts w:hint="eastAsia"/>
        </w:rPr>
        <w:t xml:space="preserve">统计独立核查另见20261025_03_统计逻辑独立核查.md。所有原稿与原分析结果均保留。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ans CJK SC" w:hAnsi="Noto Sans CJK SC" w:eastAsia="Noto Sans CJK S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ans CJK SC" w:hAnsi="Noto Sans CJK SC" w:eastAsia="Noto Sans CJK SC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Noto Sans CJK SC" w:hAnsi="Noto Sans CJK SC" w:eastAsia="Noto Sans CJK SC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Noto Sans CJK SC" w:hAnsi="Noto Sans CJK SC" w:eastAsia="Noto Sans CJK SC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Noto Sans CJK SC" w:hAnsi="Noto Sans CJK SC" w:eastAsia="Noto Sans CJK SC"/>
      <w:sz w:val="21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Noto Sans CJK SC" w:hAnsi="Noto Sans CJK SC" w:eastAsia="Noto Sans CJK SC"/>
      <w:spacing w:val="15"/>
      <w:sz w:val="21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Noto Sans CJK SC" w:hAnsi="Noto Sans CJK SC" w:eastAsia="Noto Sans CJK SC"/>
      <w:sz w:val="21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Noto Sans CJK SC" w:hAnsi="Noto Sans CJK SC" w:eastAsia="Noto Sans CJK SC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Noto Sans CJK SC" w:hAnsi="Noto Sans CJK SC" w:eastAsia="Noto Sans CJK SC"/>
      <w:b/>
      <w:sz w:val="21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Noto Sans CJK SC" w:hAnsi="Noto Sans CJK SC" w:eastAsia="Noto Sans CJK SC"/>
      <w:sz w:val="21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Noto Sans CJK SC" w:hAnsi="Noto Sans CJK SC" w:eastAsia="Noto Sans CJK SC"/>
      <w:sz w:val="21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Noto Sans CJK SC" w:hAnsi="Noto Sans CJK SC" w:eastAsia="Noto Sans CJK SC"/>
      <w:color w:themeColor="accent1" w:themeShade="BF" w:val="0F4761"/>
      <w:sz w:val="21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Noto Sans CJK SC" w:hAnsi="Noto Sans CJK SC" w:eastAsia="Noto Sans CJK SC"/>
      <w:color w:themeColor="accent1" w:themeShade="BF" w:val="0F4761"/>
      <w:sz w:val="21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Noto Sans CJK SC" w:hAnsi="Noto Sans CJK SC" w:eastAsia="Noto Sans CJK SC"/>
      <w:color w:themeColor="accent1" w:themeShade="BF" w:val="0F4761"/>
      <w:sz w:val="21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Noto Sans CJK SC" w:hAnsi="Noto Sans CJK SC" w:eastAsia="Noto Sans CJK SC"/>
      <w:i/>
      <w:iCs/>
      <w:color w:themeColor="accent1" w:themeShade="BF" w:val="0F4761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Noto Sans CJK SC" w:hAnsi="Noto Sans CJK SC" w:eastAsia="Noto Sans CJK SC"/>
      <w:color w:themeColor="accent1" w:themeShade="BF" w:val="0F4761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Noto Sans CJK SC" w:hAnsi="Noto Sans CJK SC" w:eastAsia="Noto Sans CJK SC"/>
      <w:i/>
      <w:iCs/>
      <w:color w:themeColor="text1" w:themeTint="A6" w:val="595959"/>
      <w:sz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Noto Sans CJK SC" w:hAnsi="Noto Sans CJK SC" w:eastAsia="Noto Sans CJK SC"/>
      <w:color w:themeColor="text1" w:themeTint="A6" w:val="595959"/>
      <w:sz w:val="21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Noto Sans CJK SC" w:hAnsi="Noto Sans CJK SC" w:eastAsia="Noto Sans CJK SC"/>
      <w:i/>
      <w:iCs/>
      <w:color w:themeColor="text1" w:themeTint="D8" w:val="272727"/>
      <w:sz w:val="21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Noto Sans CJK SC" w:hAnsi="Noto Sans CJK SC" w:eastAsia="Noto Sans CJK SC"/>
      <w:color w:themeColor="text1" w:themeTint="D8" w:val="272727"/>
      <w:sz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Noto Sans CJK SC" w:hAnsi="Noto Sans CJK SC" w:eastAsia="Noto Sans CJK SC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Noto Sans CJK SC" w:hAnsi="Noto Sans CJK SC" w:eastAsia="Noto Sans CJK SC"/>
      <w:sz w:val="21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Noto Sans CJK SC" w:hAnsi="Noto Sans CJK SC" w:eastAsia="Noto Sans CJK SC"/>
      <w:sz w:val="21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Noto Sans CJK SC" w:hAnsi="Noto Sans CJK SC" w:eastAsia="Noto Sans CJK SC"/>
      <w:b/>
      <w:sz w:val="21"/>
    </w:rPr>
  </w:style>
  <w:style w:customStyle="1" w:styleId="Definition" w:type="paragraph">
    <w:name w:val="Definition"/>
    <w:basedOn w:val="Normal"/>
    <w:rPr>
      <w:rFonts w:ascii="Noto Sans CJK SC" w:hAnsi="Noto Sans CJK SC" w:eastAsia="Noto Sans CJK SC"/>
      <w:sz w:val="21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Noto Sans CJK SC" w:hAnsi="Noto Sans CJK SC" w:eastAsia="Noto Sans CJK SC"/>
      <w:i/>
      <w:sz w:val="21"/>
    </w:rPr>
  </w:style>
  <w:style w:customStyle="1" w:styleId="TableCaption" w:type="paragraph">
    <w:name w:val="Table Caption"/>
    <w:basedOn w:val="Caption"/>
    <w:pPr>
      <w:keepNext/>
    </w:pPr>
    <w:rPr>
      <w:rFonts w:ascii="Noto Sans CJK SC" w:hAnsi="Noto Sans CJK SC" w:eastAsia="Noto Sans CJK SC"/>
      <w:sz w:val="21"/>
    </w:rPr>
  </w:style>
  <w:style w:customStyle="1" w:styleId="ImageCaption" w:type="paragraph">
    <w:name w:val="Image Caption"/>
    <w:basedOn w:val="Caption"/>
    <w:rPr>
      <w:rFonts w:ascii="Noto Sans CJK SC" w:hAnsi="Noto Sans CJK SC" w:eastAsia="Noto Sans CJK SC"/>
      <w:sz w:val="21"/>
    </w:rPr>
  </w:style>
  <w:style w:customStyle="1" w:styleId="Figure" w:type="paragraph">
    <w:name w:val="Figure"/>
    <w:basedOn w:val="Normal"/>
    <w:rPr>
      <w:rFonts w:ascii="Noto Sans CJK SC" w:hAnsi="Noto Sans CJK SC" w:eastAsia="Noto Sans CJK SC"/>
      <w:sz w:val="21"/>
    </w:rPr>
  </w:style>
  <w:style w:customStyle="1" w:styleId="CaptionedFigure" w:type="paragraph">
    <w:name w:val="Captioned Figure"/>
    <w:basedOn w:val="Figure"/>
    <w:pPr>
      <w:keepNext/>
    </w:pPr>
    <w:rPr>
      <w:rFonts w:ascii="Noto Sans CJK SC" w:hAnsi="Noto Sans CJK SC" w:eastAsia="Noto Sans CJK SC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Noto Sans CJK SC" w:hAnsi="Noto Sans CJK SC" w:eastAsia="Noto Sans CJK SC"/>
      <w:b w:val="0"/>
      <w:bCs w:val="0"/>
      <w:color w:themeColor="accent1" w:themeShade="BF" w:val="365F91"/>
      <w:sz w:val="2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Noto Sans CJK SC" w:hAnsi="Noto Sans CJK SC" w:eastAsia="Noto Sans CJK SC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2026-10-25T00:01:22Z</dcterms:created>
  <dcterms:modified xsi:type="dcterms:W3CDTF">2026-10-25T00:01:22Z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