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466af8ca9896d7b81e603a1dfa8416874bec74"/>
    <w:p>
      <w:pPr>
        <w:pStyle w:val="Heading1"/>
      </w:pPr>
      <w:r>
        <w:t xml:space="preserve">Core herbs selected from Xiao Ying Tang: network pharmacology and paired transcriptome analysis in papillary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bookmarkEnd w:id="34"/>
    <w:bookmarkStart w:id="35"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Genes associated with XYT and XKC were over-represented among genes altered in PTC tissue. This supports their relevance for further biological investigation, but does not establish a treatment effect or validate the proposed compound–protein interactions.</w:t>
      </w:r>
    </w:p>
    <w:p>
      <w:pPr>
        <w:pStyle w:val="BodyText"/>
      </w:pPr>
      <w:r>
        <w:rPr>
          <w:b/>
          <w:bCs/>
        </w:rPr>
        <w:t xml:space="preserve">Keywords:</w:t>
      </w:r>
      <w:r>
        <w:t xml:space="preserve"> </w:t>
      </w:r>
      <w:r>
        <w:t xml:space="preserve">Thyroid Neoplasms; Medicine, Chinese Traditional; Gene Ontology; Computational Biology; Transcriptome</w:t>
      </w:r>
    </w:p>
    <w:bookmarkEnd w:id="35"/>
    <w:bookmarkStart w:id="36"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Archived docking results for β-sitosterol were also reviewed as exploratory structural observations.</w:t>
      </w:r>
    </w:p>
    <w:bookmarkEnd w:id="36"/>
    <w:bookmarkStart w:id="37" w:name="methodology"/>
    <w:p>
      <w:pPr>
        <w:pStyle w:val="Heading1"/>
      </w:pPr>
      <w:r>
        <w:t xml:space="preserve">Methodology</w:t>
      </w:r>
    </w:p>
    <w:p>
      <w:pPr>
        <w:pStyle w:val="FirstParagraph"/>
      </w:pPr>
      <w:r>
        <w:t xml:space="preserve">This computational study was conducted at Shanghai University of Medicine &amp; Health Sciences, Shanghai, China. It combined archived herb–compound and compound–gene records, functional enrichment, a secondary analysis of public tumour-expression data, and an assessment of archived docking outputs. No participants were recruited and no treatment experiments were performed. </w:t>
      </w:r>
    </w:p>
    <w:p>
      <w:pPr>
        <w:pStyle w:val="BodyText"/>
      </w:pPr>
      <w:r>
        <w:t xml:space="preserve">Herb–ingredient records from TCMSP were matched to PubChem compound identifiers (CIDs) through lower-case compound names and a synonym table.</w:t>
      </w:r>
      <w:r>
        <w:rPr>
          <w:vertAlign w:val="superscript"/>
        </w:rPr>
        <w:t xml:space="preserve">4,5</w:t>
      </w:r>
      <w:r>
        <w:t xml:space="preserve"> </w:t>
      </w:r>
      <w:r>
        <w:t xml:space="preserve">The integrated compound–gene table included BindingDB, BATMAN-TCM known and predicted interactions, IUPHAR/BPS Guide to PHARMACOLOGY, and TCMSP target records.</w:t>
      </w:r>
      <w:r>
        <w:rPr>
          <w:vertAlign w:val="superscript"/>
        </w:rPr>
        <w:t xml:space="preserve">6,7,8</w:t>
      </w:r>
      <w:r>
        <w:t xml:space="preserve"> </w:t>
      </w:r>
      <w:r>
        <w:t xml:space="preserve">The build script referenced a September 2024 BindingDB file and a UniProt mapping file dated 5 September 2024. BindingDB, BATMAN-TCM known, and Guide to PHARMACOLOGY records were assigned an inclusion value of 100. BATMAN-TCM prediction scores were multiplied by 100; the implemented</w:t>
      </w:r>
      <w:r>
        <w:t xml:space="preserve"> </w:t>
      </w:r>
      <w:r>
        <w:rPr>
          <w:rStyle w:val="VerbatimChar"/>
        </w:rPr>
        <w:t xml:space="preserve">Gene_Value &gt; 80</w:t>
      </w:r>
      <w:r>
        <w:t xml:space="preserve"> </w:t>
      </w:r>
      <w:r>
        <w:t xml:space="preserve">filter therefore retained predictions with an original score &gt;0.80. These assigned values do not represent a common experimental-confidence scale. TCMSP target records had a differently capitalised score field (</w:t>
      </w:r>
      <w:r>
        <w:rPr>
          <w:rStyle w:val="VerbatimChar"/>
        </w:rPr>
        <w:t xml:space="preserve">Gene_value</w:t>
      </w:r>
      <w:r>
        <w:t xml:space="preserve">) and missing</w:t>
      </w:r>
      <w:r>
        <w:t xml:space="preserve"> </w:t>
      </w:r>
      <w:r>
        <w:rPr>
          <w:rStyle w:val="VerbatimChar"/>
        </w:rPr>
        <w:t xml:space="preserve">Gene_Value</w:t>
      </w:r>
      <w:r>
        <w:t xml:space="preserve"> </w:t>
      </w:r>
      <w:r>
        <w:t xml:space="preserve">values after merging, so their target records were excluded by the filter. TCMSP remained the source of herb–ingredient records. No oral-bioavailability or drug-likeness threshold was applied. BindingDB records were not filtered by binding affinity or organism before gene-symbol integration.</w:t>
      </w:r>
    </w:p>
    <w:p>
      <w:pPr>
        <w:pStyle w:val="BodyText"/>
      </w:pPr>
      <w:r>
        <w:t xml:space="preserve">The XYT input contained the herb labels E Zhu, Bai Shao, Dang Gui, Chai Hu, Qing Pi, Huang Yao Zi, Xia Ku Cao, Zao Jiao Ci, Mu Dan Pi, Bai Zhu, Fu Ling, Bai Mao Xia Ku Cao, Xuan Shen, and Zhe Bei Mu. This inventory defines the selected set analysed here, rather than the complete prescription. ZBM and XKC records were extracted using their Chinese herb names and processed by the same workflow. Gene symbols were deduplicated within each CID, and distinct CIDs were counted as mapped ingredients, ingredients linked to retained genes, and ingredients linked to disease-overlapping genes. Duplicate herb–compound records were collapsed within each set. Herb doses and constituent concentrations were unavailable.</w:t>
      </w:r>
    </w:p>
    <w:p>
      <w:pPr>
        <w:pStyle w:val="BodyText"/>
      </w:pPr>
      <w:r>
        <w:t xml:space="preserve">The GeneCards export contained 12,987 unique gene symbols.</w:t>
      </w:r>
      <w:r>
        <w:rPr>
          <w:vertAlign w:val="superscript"/>
        </w:rPr>
        <w:t xml:space="preserve">9</w:t>
      </w:r>
      <w:r>
        <w:t xml:space="preserve"> </w:t>
      </w:r>
      <w:r>
        <w:t xml:space="preserve">Its filename,</w:t>
      </w:r>
      <w:r>
        <w:t xml:space="preserve"> </w:t>
      </w:r>
      <w:r>
        <w:rPr>
          <w:rStyle w:val="VerbatimChar"/>
        </w:rPr>
        <w:t xml:space="preserve">GeneCards-SearchResults_Thyroid_tumor.csv</w:t>
      </w:r>
      <w:r>
        <w:t xml:space="preserve">, indicates the search topic, but the exact historical query syntax and retrieval date could not be recovered. The investigators confirmed that no filtering was applied before export. The full list was used without a relevance-score threshold. Ingredient-associated gene symbols were split on semicolons, deduplicated, and intersected with this list. Reconstructing the ingredient-associated sets from source-labelled records reproduced the archived sets exactly.</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We used the submitter’s fRMA-normalised log2 expression matrix without further transformation or normalisation.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archived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For the original functional analysis, unique gene symbols were mapped to Entrez identifiers with</w:t>
      </w:r>
      <w:r>
        <w:t xml:space="preserve"> </w:t>
      </w:r>
      <w:r>
        <w:rPr>
          <w:rStyle w:val="VerbatimChar"/>
        </w:rPr>
        <w:t xml:space="preserve">bitr</w:t>
      </w:r>
      <w:r>
        <w:t xml:space="preserve"> </w:t>
      </w:r>
      <w:r>
        <w:t xml:space="preserve">and org.Hs.eg.db, and all returned identifiers were passed to clusterProfiler.</w:t>
      </w:r>
      <w:r>
        <w:rPr>
          <w:vertAlign w:val="superscript"/>
        </w:rPr>
        <w:t xml:space="preserve">12</w:t>
      </w:r>
      <w:r>
        <w:t xml:space="preserve"> </w:t>
      </w:r>
      <w:r>
        <w:t xml:space="preserve">No custom rule resolved one-to-many mappings. GO analysis included biological process (BP), molecular function (MF), and cellular component (CC); KEGG analysis used human annotations.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was supplied. Exported results showed annotation backgrounds of 18,888 genes for BP, 18,522 for MF, 19,894 for CC, and 8,859 for KEGG. Terms with adjusted P &lt;0.05 were reported. Raw hypergeometric P values were checked against the archived counts; the original adjusted P values were retained because the complete pre-filtering test lists were unavailable. </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that a term was absent from an exported significant-result table. The figures describe annotation profiles; no formal between-herb comparison of enrichment or efficacy was performed.</w:t>
      </w:r>
    </w:p>
    <w:p>
      <w:pPr>
        <w:pStyle w:val="BodyText"/>
      </w:pPr>
      <w:r>
        <w:t xml:space="preserve">Ligands were prepared with Open Babel and receptor structures obtained from RCSB PDB.</w:t>
      </w:r>
      <w:r>
        <w:rPr>
          <w:vertAlign w:val="superscript"/>
        </w:rPr>
        <w:t xml:space="preserve">13,14</w:t>
      </w:r>
      <w:r>
        <w:t xml:space="preserve"> </w:t>
      </w:r>
      <w:r>
        <w:t xml:space="preserve">Initial screening used AutoDock Vina; supplementary β-sitosterol docking used smina.</w:t>
      </w:r>
      <w:r>
        <w:rPr>
          <w:vertAlign w:val="superscript"/>
        </w:rPr>
        <w:t xml:space="preserve">15,16</w:t>
      </w:r>
      <w:r>
        <w:t xml:space="preserve"> </w:t>
      </w:r>
      <w:r>
        <w:t xml:space="preserve">The reviewed human structures were CYP3A4 (6UNI) and apo CaV3.2/CACNA1H (9AYG).</w:t>
      </w:r>
      <w:r>
        <w:rPr>
          <w:vertAlign w:val="superscript"/>
        </w:rPr>
        <w:t xml:space="preserve">14,17</w:t>
      </w:r>
      <w:r>
        <w:t xml:space="preserve"> </w:t>
      </w:r>
      <w:r>
        <w:t xml:space="preserve">The bacterial 4P5A entry was excluded from interpretation as human POLB. The initial Vina script specified a 20 × 20 × 20 Å box centred on the mean receptor ATOM coordinates rounded to whole angstroms, exhaustiveness 32, and five CPU threads. Supplementary reports recorded exhaustiveness 8, nine output modes, and CPU-only execution. The corresponding pipeline used one CPU thread and a reference-based automatic box with</w:t>
      </w:r>
      <w:r>
        <w:t xml:space="preserve"> </w:t>
      </w:r>
      <w:r>
        <w:rPr>
          <w:rStyle w:val="VerbatimChar"/>
        </w:rPr>
        <w:t xml:space="preserve">--autobox_add 4</w:t>
      </w:r>
      <w:r>
        <w:t xml:space="preserve">; logs confirmed that branch was used. A random seed and scoring-function override were not specified. Historical executable versions and complete engine invocation logs were unavailable. Receptor identity, retained cofactors, and box-reference contents were reviewed before interpreting the archived outputs.</w:t>
      </w:r>
    </w:p>
    <w:bookmarkEnd w:id="37"/>
    <w:bookmarkStart w:id="53"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keepNext/>
        <w:spacing w:line="240" w:lineRule="auto"/>
      </w:pPr>
      <w:r>
        <w:drawing>
          <wp:inline>
            <wp:extent cx="5334000" cy="1777999"/>
            <wp:effectExtent b="0" l="0" r="0" t="0"/>
            <wp:docPr descr="" title="" id="39" name="Picture"/>
            <a:graphic>
              <a:graphicData uri="http://schemas.openxmlformats.org/drawingml/2006/picture">
                <pic:pic>
                  <pic:nvPicPr>
                    <pic:cNvPr descr="20261024_03_support/20261024_Figure1.png" id="40" name="Picture"/>
                    <pic:cNvPicPr>
                      <a:picLocks noChangeArrowheads="1" noChangeAspect="1"/>
                    </pic:cNvPicPr>
                  </pic:nvPicPr>
                  <pic:blipFill>
                    <a:blip r:embed="rId3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keepNext/>
        <w:spacing w:line="240" w:lineRule="auto"/>
      </w:pPr>
      <w:r>
        <w:drawing>
          <wp:inline>
            <wp:extent cx="5334000" cy="6134100"/>
            <wp:effectExtent b="0" l="0" r="0" t="0"/>
            <wp:docPr descr="" title="" id="42" name="Picture"/>
            <a:graphic>
              <a:graphicData uri="http://schemas.openxmlformats.org/drawingml/2006/picture">
                <pic:pic>
                  <pic:nvPicPr>
                    <pic:cNvPr descr="20261024_03_support/20261024_Figure2.png" id="43" name="Picture"/>
                    <pic:cNvPicPr>
                      <a:picLocks noChangeArrowheads="1" noChangeAspect="1"/>
                    </pic:cNvPicPr>
                  </pic:nvPicPr>
                  <pic:blipFill>
                    <a:blip r:embed="rId41"/>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w:t>
      </w:r>
    </w:p>
    <w:p>
      <w:pPr>
        <w:pStyle w:val="BodyText"/>
        <w:keepNext/>
        <w:spacing w:line="240" w:lineRule="auto"/>
      </w:pPr>
      <w:r>
        <w:drawing>
          <wp:inline>
            <wp:extent cx="5334000" cy="3467100"/>
            <wp:effectExtent b="0" l="0" r="0" t="0"/>
            <wp:docPr descr="" title="" id="45" name="Picture"/>
            <a:graphic>
              <a:graphicData uri="http://schemas.openxmlformats.org/drawingml/2006/picture">
                <pic:pic>
                  <pic:nvPicPr>
                    <pic:cNvPr descr="20261024_03_support/20261024_Figure3.png" id="46" name="Picture"/>
                    <pic:cNvPicPr>
                      <a:picLocks noChangeArrowheads="1" noChangeAspect="1"/>
                    </pic:cNvPicPr>
                  </pic:nvPicPr>
                  <pic:blipFill>
                    <a:blip r:embed="rId4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keepNext/>
        <w:spacing w:line="240" w:lineRule="auto"/>
      </w:pPr>
      <w:r>
        <w:drawing>
          <wp:inline>
            <wp:extent cx="5334000" cy="2411895"/>
            <wp:effectExtent b="0" l="0" r="0" t="0"/>
            <wp:docPr descr="" title="" id="48" name="Picture"/>
            <a:graphic>
              <a:graphicData uri="http://schemas.openxmlformats.org/drawingml/2006/picture">
                <pic:pic>
                  <pic:nvPicPr>
                    <pic:cNvPr descr="20261025_04_review_support/20261025_Figure4.png" id="49" name="Picture"/>
                    <pic:cNvPicPr>
                      <a:picLocks noChangeArrowheads="1" noChangeAspect="1"/>
                    </pic:cNvPicPr>
                  </pic:nvPicPr>
                  <pic:blipFill>
                    <a:blip r:embed="rId47"/>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archived disease list. FDR labels show Benjamini–Hochberg-adjusted P values from the six one-sided Fisher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5).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keepNext/>
        <w:spacing w:line="240" w:lineRule="auto"/>
      </w:pPr>
      <w:r>
        <w:drawing>
          <wp:inline>
            <wp:extent cx="5334000" cy="3913516"/>
            <wp:effectExtent b="0" l="0" r="0" t="0"/>
            <wp:docPr descr="" title="" id="51" name="Picture"/>
            <a:graphic>
              <a:graphicData uri="http://schemas.openxmlformats.org/drawingml/2006/picture">
                <pic:pic>
                  <pic:nvPicPr>
                    <pic:cNvPr descr="20261025_04_review_support/20261025_Figure5.png" id="52" name="Picture"/>
                    <pic:cNvPicPr>
                      <a:picLocks noChangeArrowheads="1" noChangeAspect="1"/>
                    </pic:cNvPicPr>
                  </pic:nvPicPr>
                  <pic:blipFill>
                    <a:blip r:embed="rId5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53"/>
    <w:bookmarkStart w:id="54"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expression results did not provide strong gene-level support for the three preselected genes considered alongside docking. POLB was statistically different but changed by less than 0.1 log2 units; CACNA1H and CYP3A4 were not significant. Transcript abundance alone does not determine protein activity, but these findings do not justify promoting these genes as established therapeutic targets. CYP3A4 is involved in vandetanib metabolism,</w:t>
      </w:r>
      <w:r>
        <w:rPr>
          <w:vertAlign w:val="superscript"/>
        </w:rPr>
        <w:t xml:space="preserve">20</w:t>
      </w:r>
      <w:r>
        <w:t xml:space="preserve"> </w:t>
      </w:r>
      <w:r>
        <w:t xml:space="preserve">so a putative interaction may relate to drug metabolism rather than a tumour-selective effect. The archived docking results cannot resolve this question because CYP3A4 was prepared without its haem cofactor and the automatic box references did not establish validated binding sites. The same compound–receptor pair also remains the same chemical interaction regardless of which herb supplied the compound record.</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Several methodological limitations affect interpretation. The compound–gene table pools recorded and predicted associations, and its inclusion values are not comparable experimental confidence scores. BindingDB records were not restricted by organism or affinity, and a field-name inconsistency excluded TCMSP target records. These features may alter the retained target profile. The broad disease list has an unresolved historical search syntax. GO and KEGG analyses used annotation-wide backgrounds rather than the genes eligible for selection from the compound–target resource; the disease-restricted sensitivity analysis addressed transcriptome overlap, not this separate functional-enrichment limitation. Correlation among genes and shared database annotation can also affect gene-set tests. The external expression evidence comes from one microarray cohort and applies to PTC, not all thyroid cancer subtypes. Differences in tissue composition may contribute to the observed expression changes. There were no treatment-exposed samples, measurements of constituent concentrations, or direct binding and functional assays.</w:t>
      </w:r>
    </w:p>
    <w:p>
      <w:pPr>
        <w:pStyle w:val="BodyText"/>
      </w:pPr>
      <w:r>
        <w:t xml:space="preserve">The next experimental step is to test chemically characterised preparations or authenticated compounds in thyroid cancer models with non-malignant controls, followed by target perturbation and binding or functional assays. Any renewed docking analysis should first use appropriate human structures, cofactors, defined binding sites, and reference-ligand controls.</w:t>
      </w:r>
    </w:p>
    <w:bookmarkEnd w:id="54"/>
    <w:bookmarkStart w:id="55"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 findings narrow the hypotheses for further testing; they do not establish herb efficacy, synergy, or the proposed compound–protein interactions.</w:t>
      </w:r>
    </w:p>
    <w:bookmarkEnd w:id="55"/>
    <w:bookmarkStart w:id="56"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56"/>
    <w:bookmarkStart w:id="57"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57"/>
    <w:bookmarkStart w:id="58" w:name="patient-consent"/>
    <w:p>
      <w:pPr>
        <w:pStyle w:val="Heading1"/>
      </w:pPr>
      <w:r>
        <w:t xml:space="preserve">Patient Consent</w:t>
      </w:r>
    </w:p>
    <w:p>
      <w:pPr>
        <w:pStyle w:val="FirstParagraph"/>
      </w:pPr>
      <w:r>
        <w:t xml:space="preserve">No new consent was obtained for this secondary analysis of publicly available, de-identified data. No participants were recruited or contacted.</w:t>
      </w:r>
    </w:p>
    <w:bookmarkEnd w:id="58"/>
    <w:bookmarkStart w:id="59"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59"/>
    <w:bookmarkStart w:id="60"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60"/>
    <w:bookmarkStart w:id="61"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61"/>
    <w:bookmarkStart w:id="62"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62"/>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line="360" w:lineRule="auto"/>
    </w:pPr>
    <w:rPr>
      <w:rFonts w:ascii="Times New Roman" w:hAnsi="Times New Roman"/>
      <w:sz w:val="24"/>
    </w:rPr>
  </w:style>
  <w:style w:customStyle="1" w:styleId="FirstParagraph" w:type="paragraph">
    <w:name w:val="First Paragraph"/>
    <w:basedOn w:val="BodyText"/>
    <w:next w:val="BodyText"/>
    <w:qFormat/>
    <w:pPr>
      <w:spacing w:line="360" w:lineRule="auto"/>
    </w:pPr>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2026-10-25T00:00:18Z</dcterms:created>
  <dcterms:modified xsi:type="dcterms:W3CDTF">2026-10-25T00:00:18Z</dcterms:modified>
</cp:coreProperties>
</file>

<file path=docProps/custom.xml><?xml version="1.0" encoding="utf-8"?>
<Properties xmlns="http://schemas.openxmlformats.org/officeDocument/2006/custom-properties" xmlns:vt="http://schemas.openxmlformats.org/officeDocument/2006/docPropsVTypes"/>
</file>