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小瘿汤核心药组的网络药理学与甲状腺乳头状癌配对转录组分析"/>
    <w:p>
      <w:pPr>
        <w:pStyle w:val="Heading1"/>
      </w:pPr>
      <w:r>
        <w:rPr>
          <w:rFonts w:hint="eastAsia"/>
        </w:rPr>
        <w:t xml:space="preserve">小瘿汤核心药组的网络药理学与甲状腺乳头状癌配对转录组分析</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rPr>
          <w:rFonts w:hint="eastAsia"/>
        </w:rPr>
        <w:t xml:space="preserve">杭州师范大学附属医院针灸科，中国浙江杭州。</w:t>
      </w:r>
    </w:p>
    <w:p>
      <w:pPr>
        <w:pStyle w:val="BodyText"/>
      </w:pPr>
      <w:r>
        <w:rPr>
          <w:vertAlign w:val="superscript"/>
        </w:rPr>
        <w:t xml:space="preserve">2</w:t>
      </w:r>
      <w:r>
        <w:rPr>
          <w:rFonts w:hint="eastAsia"/>
        </w:rPr>
        <w:t xml:space="preserve">上海健康医学院临床医学院，中国上海。</w:t>
      </w:r>
    </w:p>
    <w:p>
      <w:pPr>
        <w:pStyle w:val="BodyText"/>
      </w:pPr>
      <w:r>
        <w:rPr>
          <w:vertAlign w:val="superscript"/>
        </w:rPr>
        <w:t xml:space="preserve">3</w:t>
      </w:r>
      <w:r>
        <w:rPr>
          <w:rFonts w:hint="eastAsia"/>
        </w:rPr>
        <w:t xml:space="preserve">上海中医药大学附属龙华医院肿瘤科，中国上海。</w:t>
      </w:r>
    </w:p>
    <w:p>
      <w:pPr>
        <w:pStyle w:val="BodyText"/>
      </w:pPr>
      <w:r>
        <w:rPr>
          <w:vertAlign w:val="superscript"/>
        </w:rPr>
        <w:t xml:space="preserve">4</w:t>
      </w:r>
      <w:r>
        <w:rPr>
          <w:rFonts w:hint="eastAsia"/>
        </w:rPr>
        <w:t xml:space="preserve">江苏三黍生物科技有限公司，中国江苏南通市崇川区唐闸镇街道市北高新路259号。</w:t>
      </w:r>
    </w:p>
    <w:p>
      <w:pPr>
        <w:pStyle w:val="BodyText"/>
      </w:pPr>
      <w:r>
        <w:rPr>
          <w:vertAlign w:val="superscript"/>
        </w:rPr>
        <w:t xml:space="preserve">5</w:t>
      </w:r>
      <w:r>
        <w:rPr>
          <w:rFonts w:hint="eastAsia"/>
        </w:rPr>
        <w:t xml:space="preserve">上海中医药大学附属曙光医院呼吸科，中国上海，201203。</w:t>
      </w:r>
    </w:p>
    <w:p>
      <w:pPr>
        <w:pStyle w:val="BodyText"/>
      </w:pPr>
      <w:r>
        <w:rPr>
          <w:vertAlign w:val="superscript"/>
        </w:rPr>
        <w:t xml:space="preserve">6</w:t>
      </w:r>
      <w:r>
        <w:rPr>
          <w:rFonts w:hint="eastAsia"/>
        </w:rPr>
        <w:t xml:space="preserve">甘肃中医药大学中医临床学院，中国甘肃省兰州市城关区定西东路35号。</w:t>
      </w:r>
    </w:p>
    <w:p>
      <w:pPr>
        <w:pStyle w:val="BodyText"/>
      </w:pPr>
      <w:r>
        <w:t xml:space="preserve">*Tao Li、Jiacai Li </w:t>
      </w:r>
      <w:r>
        <w:rPr>
          <w:rFonts w:hint="eastAsia"/>
        </w:rPr>
        <w:t xml:space="preserve">和</w:t>
      </w:r>
      <w:r>
        <w:t xml:space="preserve"> Yajie Ding </w:t>
      </w:r>
      <w:r>
        <w:rPr>
          <w:rFonts w:hint="eastAsia"/>
        </w:rPr>
        <w:t xml:space="preserve">对本研究贡献相同，为共同第一作者。</w:t>
      </w:r>
    </w:p>
    <w:p>
      <w:pPr>
        <w:pStyle w:val="BodyText"/>
      </w:pPr>
      <w:r>
        <w:rPr>
          <w:rFonts w:hint="eastAsia"/>
        </w:rPr>
        <w:t xml:space="preserve">通讯作者：Pengfei</w:t>
      </w:r>
      <w:r>
        <w:t xml:space="preserve"> </w:t>
      </w:r>
      <w:r>
        <w:rPr>
          <w:rFonts w:hint="eastAsia"/>
        </w:rPr>
        <w:t xml:space="preserve">Yang，甘肃中医药大学中医临床学院，中国甘肃省兰州市城关区定西东路35号。电话：+8618293195696；邮箱：ypf@gszy.edu.cn。</w:t>
      </w:r>
    </w:p>
    <w:p>
      <w:pPr>
        <w:pStyle w:val="BodyText"/>
      </w:pPr>
      <w:r>
        <w:rPr>
          <w:rFonts w:hint="eastAsia"/>
        </w:rPr>
        <w:t xml:space="preserve">其他作者联系方式：Yajie</w:t>
      </w:r>
      <w:r>
        <w:t xml:space="preserve"> </w:t>
      </w:r>
      <w:r>
        <w:rPr>
          <w:rFonts w:hint="eastAsia"/>
        </w:rPr>
        <w:t xml:space="preserve">Ding，邮箱</w:t>
      </w:r>
      <w:r>
        <w:t xml:space="preserve"> </w:t>
      </w:r>
      <w:r>
        <w:rPr>
          <w:rFonts w:hint="eastAsia"/>
        </w:rPr>
        <w:t xml:space="preserve">dingyajie2018@163.com；Xing</w:t>
      </w:r>
      <w:r>
        <w:t xml:space="preserve"> </w:t>
      </w:r>
      <w:r>
        <w:rPr>
          <w:rFonts w:hint="eastAsia"/>
        </w:rPr>
        <w:t xml:space="preserve">Zhang，邮箱</w:t>
      </w:r>
      <w:r>
        <w:t xml:space="preserve"> </w:t>
      </w:r>
      <w:r>
        <w:rPr>
          <w:rFonts w:hint="eastAsia"/>
        </w:rPr>
        <w:t xml:space="preserve">zhangxing2012@shutcm.edu.cn，电话</w:t>
      </w:r>
      <w:r>
        <w:t xml:space="preserve"> 021-20256375。</w:t>
      </w:r>
    </w:p>
    <w:bookmarkEnd w:id="34"/>
    <w:bookmarkStart w:id="35" w:name="摘要"/>
    <w:p>
      <w:pPr>
        <w:pStyle w:val="Heading1"/>
      </w:pPr>
      <w:r>
        <w:rPr>
          <w:rFonts w:hint="eastAsia"/>
        </w:rPr>
        <w:t xml:space="preserve">摘要</w:t>
      </w:r>
    </w:p>
    <w:p>
      <w:pPr>
        <w:pStyle w:val="FirstParagraph"/>
      </w:pPr>
      <w:r>
        <w:rPr>
          <w:rFonts w:hint="eastAsia"/>
          <w:b/>
          <w:bCs/>
        </w:rPr>
        <w:t xml:space="preserve">目的：</w:t>
      </w:r>
      <w:r>
        <w:rPr>
          <w:rFonts w:hint="eastAsia"/>
        </w:rPr>
        <w:t xml:space="preserve">分析小瘿汤核心药组（XYT）关联的甲状腺癌相关基因，并在外部甲状腺乳头状癌（PTC）队列中评估其表达特征。</w:t>
      </w:r>
    </w:p>
    <w:p>
      <w:pPr>
        <w:pStyle w:val="BodyText"/>
      </w:pPr>
      <w:r>
        <w:rPr>
          <w:rFonts w:hint="eastAsia"/>
          <w:b/>
          <w:bCs/>
        </w:rPr>
        <w:t xml:space="preserve">方法：</w:t>
      </w:r>
      <w:r>
        <w:rPr>
          <w:rFonts w:hint="eastAsia"/>
        </w:rPr>
        <w:t xml:space="preserve">将XYT、浙贝母（ZBM）和夏枯草（XKC）的成分关联基因与GeneCards疾病基因集取交集，开展GO和KEGG富集分析。在GSE60542中，先对同一患者同类组织的重复组织块取平均，再采用配对limma模型分析24例患者的肿瘤与正常甲状腺表达差异。差异基因标准为Benjamini–Hochberg校正P值&lt;0.05且绝对log2倍数变化≥1。分别以全部可测基因及其中的疾病相关基因为背景，检验候选集合在差异表达基因中的富集情况。</w:t>
      </w:r>
    </w:p>
    <w:p>
      <w:pPr>
        <w:pStyle w:val="BodyText"/>
      </w:pPr>
      <w:r>
        <w:rPr>
          <w:rFonts w:hint="eastAsia"/>
          <w:b/>
          <w:bCs/>
        </w:rPr>
        <w:t xml:space="preserve">结果：</w:t>
      </w:r>
      <w:r>
        <w:rPr>
          <w:rFonts w:hint="eastAsia"/>
        </w:rPr>
        <w:t xml:space="preserve">ZBM、XKC和XYT分别获得78、842和1,595个疾病交集基因，两个单味药集合均包含于XYT中。功能注释涉及氧化应激和钙调节。转录组分析的20,848个基因中，666个符合差异表达标准，其中包括XYT可测候选基因的111/1,518、XKC的69/805及ZBM的4/77。以疾病相关可测基因为背景时，XYT和XKC仍显著富集，比值比分别为1.80和2.08，校正P值均为5.31</w:t>
      </w:r>
      <w:r>
        <w:t xml:space="preserve"> × 10</w:t>
      </w:r>
      <w:r>
        <w:rPr>
          <w:vertAlign w:val="superscript"/>
        </w:rPr>
        <w:t xml:space="preserve">-7</w:t>
      </w:r>
      <w:r>
        <w:rPr>
          <w:rFonts w:hint="eastAsia"/>
        </w:rPr>
        <w:t xml:space="preserve">。ZBM富集未达统计学显著性。POLB、CACNA1H和CYP3A4均未同时满足两项差异表达标准。</w:t>
      </w:r>
    </w:p>
    <w:p>
      <w:pPr>
        <w:pStyle w:val="BodyText"/>
      </w:pPr>
      <w:r>
        <w:rPr>
          <w:rFonts w:hint="eastAsia"/>
          <w:b/>
          <w:bCs/>
        </w:rPr>
        <w:t xml:space="preserve">结论：</w:t>
      </w:r>
      <w:r>
        <w:rPr>
          <w:rFonts w:hint="eastAsia"/>
        </w:rPr>
        <w:t xml:space="preserve">XYT和XKC关联基因在PTC组织差异表达基因中富集，为进一步研究所选药物的生物学作用提供了候选基因。</w:t>
      </w:r>
    </w:p>
    <w:p>
      <w:pPr>
        <w:pStyle w:val="BodyText"/>
      </w:pPr>
      <w:r>
        <w:rPr>
          <w:rFonts w:hint="eastAsia"/>
          <w:b/>
          <w:bCs/>
        </w:rPr>
        <w:t xml:space="preserve">关键词：</w:t>
      </w:r>
      <w:r>
        <w:rPr>
          <w:rFonts w:hint="eastAsia"/>
        </w:rPr>
        <w:t xml:space="preserve">甲状腺肿瘤；中医药；基因本体；计算生物学；转录组</w:t>
      </w:r>
    </w:p>
    <w:bookmarkEnd w:id="35"/>
    <w:bookmarkStart w:id="36"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w:t>
      </w:r>
      <w:r>
        <w:rPr>
          <w:vertAlign w:val="superscript"/>
        </w:rPr>
        <w:t xml:space="preserve">1</w:t>
      </w:r>
      <w:r>
        <w:rPr>
          <w:rFonts w:hint="eastAsia"/>
        </w:rPr>
        <w:t xml:space="preserve">手术、适用于部分患者的放射性碘治疗及甲状腺激素管理是分化型甲状腺癌治疗的基础。</w:t>
      </w:r>
      <w:r>
        <w:rPr>
          <w:vertAlign w:val="superscript"/>
        </w:rPr>
        <w:t xml:space="preserve">2</w:t>
      </w:r>
      <w:r>
        <w:rPr>
          <w:rFonts w:hint="eastAsia"/>
        </w:rPr>
        <w:t xml:space="preserve">持续性病变和治疗抵抗推动了其他治疗策略的研究。不同亚型的分子驱动因素存在差异，因此，从广泛疾病数据库中提出的候选机制需要在明确的肿瘤类型中加以考察。</w:t>
      </w:r>
      <w:r>
        <w:rPr>
          <w:vertAlign w:val="superscript"/>
        </w:rPr>
        <w:t xml:space="preserve">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本研究围绕甲状腺疾病，从小瘿汤中选取核心草药进行分析，全文以XYT表示这一核心药组。另对浙贝母（ZBM；Fritillariae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配对PTC与正常甲状腺样本中考察预先确定的候选集合，并通过β-谷甾醇的探索性对接分析考察候选化合物–蛋白相互作用。</w:t>
      </w:r>
    </w:p>
    <w:bookmarkEnd w:id="36"/>
    <w:bookmarkStart w:id="37" w:name="方法"/>
    <w:p>
      <w:pPr>
        <w:pStyle w:val="Heading1"/>
      </w:pPr>
      <w:r>
        <w:rPr>
          <w:rFonts w:hint="eastAsia"/>
        </w:rPr>
        <w:t xml:space="preserve">方法</w:t>
      </w:r>
    </w:p>
    <w:p>
      <w:pPr>
        <w:pStyle w:val="FirstParagraph"/>
      </w:pPr>
      <w:r>
        <w:rPr>
          <w:rFonts w:hint="eastAsia"/>
        </w:rPr>
        <w:t xml:space="preserve">本研究在上海健康医学院完成，整合了中药–成分及成分–基因数据、功能富集分析、配对肿瘤表达谱和探索性分子对接。</w:t>
      </w:r>
    </w:p>
    <w:p>
      <w:pPr>
        <w:pStyle w:val="BodyText"/>
      </w:pPr>
      <w:r>
        <w:rPr>
          <w:rFonts w:hint="eastAsia"/>
        </w:rPr>
        <w:t xml:space="preserve">中药成分来自TCMSP，通过小写化合物名称与同义词表匹配，关联至PubChem化合物标识符（CID）。</w:t>
      </w:r>
      <w:r>
        <w:rPr>
          <w:vertAlign w:val="superscript"/>
        </w:rPr>
        <w:t xml:space="preserve">4,5</w:t>
      </w:r>
      <w:r>
        <w:rPr>
          <w:rFonts w:hint="eastAsia"/>
        </w:rPr>
        <w:t xml:space="preserve">成分关联基因来自BindingDB、BATMAN-TCM的已知及预测相互作用，以及IUPHAR/BPS</w:t>
      </w:r>
      <w:r>
        <w:t xml:space="preserve"> Guide to PHARMACOLOGY。</w:t>
      </w:r>
      <w:r>
        <w:rPr>
          <w:vertAlign w:val="superscript"/>
        </w:rPr>
        <w:t xml:space="preserve">6,7,8</w:t>
      </w:r>
      <w:r>
        <w:rPr>
          <w:rFonts w:hint="eastAsia"/>
        </w:rPr>
        <w:t xml:space="preserve">BindingDB采用2024年9月的数据文件，UniProt标识符转换采用日期为2024年9月5日的映射文件。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XYT核心药组包括莪术、白芍、当归、柴胡、青皮、黄药子、夏枯草、皂角刺、牡丹皮、白术、茯苓、白毛夏枯草、玄参和浙贝母。根据中文药名提取ZBM和XKC记录，并使用相同流程处理。各组内合并重复的中药–成分记录，分别统计全部已匹配成分、关联到保留基因的成分，以及关联到疾病交集基因的成分的唯一CID数量。</w:t>
      </w:r>
    </w:p>
    <w:p>
      <w:pPr>
        <w:pStyle w:val="BodyText"/>
      </w:pPr>
      <w:r>
        <w:rPr>
          <w:rFonts w:hint="eastAsia"/>
        </w:rPr>
        <w:t xml:space="preserve">甲状腺肿瘤相关基因来自包含12,987个唯一基因符号的GeneCards导出数据。</w:t>
      </w:r>
      <w:r>
        <w:rPr>
          <w:vertAlign w:val="superscript"/>
        </w:rPr>
        <w:t xml:space="preserve">9</w:t>
      </w:r>
      <w:r>
        <w:rPr>
          <w:rFonts w:hint="eastAsia"/>
        </w:rPr>
        <w:t xml:space="preserve">三个药物集合均使用完整的导出基因列表进行比较。成分关联基因符号按分号拆分、去重后与疾病列表取交集，形成ZBM、XKC和XYT候选集合。</w:t>
      </w:r>
    </w:p>
    <w:p>
      <w:pPr>
        <w:pStyle w:val="BodyText"/>
      </w:pPr>
      <w:r>
        <w:rPr>
          <w:rFonts w:hint="eastAsia"/>
        </w:rPr>
        <w:t xml:space="preserve">外部表达分析采用GSE60542，该研究基于Affymetrix</w:t>
      </w:r>
      <w:r>
        <w:t xml:space="preserve"> </w:t>
      </w:r>
      <w:r>
        <w:rPr>
          <w:rFonts w:hint="eastAsia"/>
        </w:rPr>
        <w:t xml:space="preserve">GPL570平台分析PTC及相关组织。</w:t>
      </w:r>
      <w:r>
        <w:rPr>
          <w:vertAlign w:val="superscript"/>
        </w:rPr>
        <w:t xml:space="preserve">10</w:t>
      </w:r>
      <w:r>
        <w:rPr>
          <w:rFonts w:hint="eastAsia"/>
        </w:rPr>
        <w:t xml:space="preserve">使用提交者提供的fRMA标准化log2表达矩阵。样本限于原发PTC和正常甲状腺，排除淋巴结组织和淋巴结转移样本；保留同时具有两类合格组织的患者。同一患者同类组织的重复组织块取平均。排除基因注释缺失、占位符或对应多个基因且无法明确映射的探针；同一基因的多个保留探针在log2尺度取平均。最终由54,675个探针中的42,904个获得20,848个基因。使用R</w:t>
      </w:r>
      <w:r>
        <w:t xml:space="preserve"> </w:t>
      </w:r>
      <w:r>
        <w:rPr>
          <w:rFonts w:hint="eastAsia"/>
        </w:rPr>
        <w:t xml:space="preserve">4.3.1和limma</w:t>
      </w:r>
      <w:r>
        <w:t xml:space="preserve"> </w:t>
      </w:r>
      <w:r>
        <w:rPr>
          <w:rFonts w:hint="eastAsia"/>
        </w:rPr>
        <w:t xml:space="preserve">3.58.1进行差异分析，模型为</w:t>
      </w:r>
      <w:r>
        <w:rPr>
          <w:rStyle w:val="VerbatimChar"/>
        </w:rPr>
        <w:t xml:space="preserve">~ patient_id + tissue_group</w:t>
      </w:r>
      <w:r>
        <w:rPr>
          <w:rFonts w:hint="eastAsia"/>
        </w:rPr>
        <w:t xml:space="preserve">，以正常甲状腺为参照，并采用稳健经验贝叶斯方法。</w:t>
      </w:r>
      <w:r>
        <w:rPr>
          <w:vertAlign w:val="superscript"/>
        </w:rPr>
        <w:t xml:space="preserve">11</w:t>
      </w:r>
      <w:r>
        <w:rPr>
          <w:rFonts w:hint="eastAsia"/>
        </w:rPr>
        <w:t xml:space="preserve">正log2倍数变化表示肿瘤中表达升高。采用Benjamini–Hochberg方法对全部可测基因的P值进行校正，差异标准为校正P&lt;0.05且|log2FC|≥1。XYT、XKC、ZBM候选集合及阈值均在本次分析前确定。采用单侧Fisher精确检验，分别以全部20,848个可测基因和疾病列表中的10,655个可测基因为背景，判断候选集合在差异表达基因中是否过度代表。六项检验的P值统一校正。森林图展示条件比值比估计及双侧精确95%置信区间，P值来自预设的单侧检验。</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w:t>
      </w:r>
      <w:r>
        <w:rPr>
          <w:vertAlign w:val="superscript"/>
        </w:rPr>
        <w:t xml:space="preserve">12</w:t>
      </w:r>
      <w:r>
        <w:rPr>
          <w:rFonts w:hint="eastAsia"/>
        </w:rPr>
        <w:t xml:space="preserve">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w:t>
      </w:r>
      <w:r>
        <w:rPr>
          <w:vertAlign w:val="superscript"/>
        </w:rPr>
        <w:t xml:space="preserve">13,14</w:t>
      </w:r>
      <w:r>
        <w:rPr>
          <w:rFonts w:hint="eastAsia"/>
        </w:rPr>
        <w:t xml:space="preserve">初步筛选采用AutoDock</w:t>
      </w:r>
      <w:r>
        <w:t xml:space="preserve"> </w:t>
      </w:r>
      <w:r>
        <w:rPr>
          <w:rFonts w:hint="eastAsia"/>
        </w:rPr>
        <w:t xml:space="preserve">Vina，β-谷甾醇的补充对接采用smina。</w:t>
      </w:r>
      <w:r>
        <w:rPr>
          <w:vertAlign w:val="superscript"/>
        </w:rPr>
        <w:t xml:space="preserve">15,16</w:t>
      </w:r>
      <w:r>
        <w:rPr>
          <w:rFonts w:hint="eastAsia"/>
        </w:rPr>
        <w:t xml:space="preserve">结构分析聚焦人源CYP3A4（6UNI）及apo状态的CaV3.2/CACNA1H（9AYG）。</w:t>
      </w:r>
      <w:r>
        <w:rPr>
          <w:vertAlign w:val="superscript"/>
        </w:rPr>
        <w:t xml:space="preserve">14,17</w:t>
      </w:r>
      <w:r>
        <w:rPr>
          <w:rFonts w:hint="eastAsia"/>
        </w:rPr>
        <w:t xml:space="preserve">细菌来源的4P5A结构被排除在人源靶点分析之外。初始Vina方案采用20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定义搜索盒。结合受体身份、辅因子保留情况及用于定义搜索区域的残基，考察最低评分构象。</w:t>
      </w:r>
    </w:p>
    <w:bookmarkEnd w:id="37"/>
    <w:bookmarkStart w:id="53"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图1）。ZBM的全部78个及XKC的全部842个疾病交集基因均包含于XYT的1,595个交集基因中。XYT的覆盖范围最大，三个集合与疾病列表重叠的比例相近。</w:t>
      </w:r>
    </w:p>
    <w:p>
      <w:pPr>
        <w:pStyle w:val="BodyText"/>
        <w:keepNext/>
        <w:spacing w:line="240" w:lineRule="auto"/>
      </w:pPr>
      <w:r>
        <w:drawing>
          <wp:inline>
            <wp:extent cx="5334000" cy="1777999"/>
            <wp:effectExtent b="0" l="0" r="0" t="0"/>
            <wp:docPr descr="" title="" id="39" name="Picture"/>
            <a:graphic>
              <a:graphicData uri="http://schemas.openxmlformats.org/drawingml/2006/picture">
                <pic:pic>
                  <pic:nvPicPr>
                    <pic:cNvPr descr="20261024_03_support/20261024_Figure1.png" id="40" name="Picture"/>
                    <pic:cNvPicPr>
                      <a:picLocks noChangeArrowheads="1" noChangeAspect="1"/>
                    </pic:cNvPicPr>
                  </pic:nvPicPr>
                  <pic:blipFill>
                    <a:blip r:embed="rId3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图1：</w:t>
      </w:r>
      <w:r>
        <w:rPr>
          <w:rFonts w:hint="eastAsia"/>
        </w:rPr>
        <w:t xml:space="preserve">ZBM、XKC及XYT核心药组与疾病基因的交集，分别包含78、842和1,595个基因。三个比较采用相同的12,987个疾病基因。圆形为示意，面积不与集合大小成比例。XYT指针对甲状腺疾病选取的小瘿汤核心药组。</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）。钙稳态和电压门控钙通道复合物相关注释也有富集。后者（GO:0005891）的GeneRatio分别为15/78、15/839和19/1,587，注释特征见图2。</w:t>
      </w:r>
    </w:p>
    <w:p>
      <w:pPr>
        <w:pStyle w:val="BodyText"/>
        <w:keepNext/>
        <w:spacing w:line="240" w:lineRule="auto"/>
      </w:pPr>
      <w:r>
        <w:drawing>
          <wp:inline>
            <wp:extent cx="5334000" cy="6134100"/>
            <wp:effectExtent b="0" l="0" r="0" t="0"/>
            <wp:docPr descr="" title="" id="42" name="Picture"/>
            <a:graphic>
              <a:graphicData uri="http://schemas.openxmlformats.org/drawingml/2006/picture">
                <pic:pic>
                  <pic:nvPicPr>
                    <pic:cNvPr descr="20261024_03_support/20261024_Figure2.png" id="43" name="Picture"/>
                    <pic:cNvPicPr>
                      <a:picLocks noChangeArrowheads="1" noChangeAspect="1"/>
                    </pic:cNvPicPr>
                  </pic:nvPicPr>
                  <pic:blipFill>
                    <a:blip r:embed="rId41"/>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图2：</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），未出现在ZBM显著结果中。XKC和XYT校正P最低的KEGG条目均为脂质与动脉粥样硬化，ZBM则为尼古丁成瘾（图3）。</w:t>
      </w:r>
    </w:p>
    <w:p>
      <w:pPr>
        <w:pStyle w:val="BodyText"/>
        <w:keepNext/>
        <w:spacing w:line="240" w:lineRule="auto"/>
      </w:pPr>
      <w:r>
        <w:drawing>
          <wp:inline>
            <wp:extent cx="5334000" cy="3467100"/>
            <wp:effectExtent b="0" l="0" r="0" t="0"/>
            <wp:docPr descr="" title="" id="45" name="Picture"/>
            <a:graphic>
              <a:graphicData uri="http://schemas.openxmlformats.org/drawingml/2006/picture">
                <pic:pic>
                  <pic:nvPicPr>
                    <pic:cNvPr descr="20261024_03_support/20261024_Figure3.png" id="46" name="Picture"/>
                    <pic:cNvPicPr>
                      <a:picLocks noChangeArrowheads="1" noChangeAspect="1"/>
                    </pic:cNvPicPr>
                  </pic:nvPicPr>
                  <pic:blipFill>
                    <a:blip r:embed="rId4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图3：</w:t>
      </w:r>
      <w:r>
        <w:rPr>
          <w:rFonts w:hint="eastAsia"/>
        </w:rPr>
        <w:t xml:space="preserve">选取的KEGG通路。展示各组校正P最低的五条通路的并集，并加入hsa05216（甲状腺癌）。柱长表示GeneRatio，颜色及缺失柱形的含义同图2。完整富集结果和作图源数据随稿提供。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4）。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keepNext/>
        <w:spacing w:line="240" w:lineRule="auto"/>
      </w:pPr>
      <w:r>
        <w:drawing>
          <wp:inline>
            <wp:extent cx="5334000" cy="2411895"/>
            <wp:effectExtent b="0" l="0" r="0" t="0"/>
            <wp:docPr descr="" title="" id="48" name="Picture"/>
            <a:graphic>
              <a:graphicData uri="http://schemas.openxmlformats.org/drawingml/2006/picture">
                <pic:pic>
                  <pic:nvPicPr>
                    <pic:cNvPr descr="20261025_04_review_support/20261025_Figure4.png" id="49" name="Picture"/>
                    <pic:cNvPicPr>
                      <a:picLocks noChangeArrowheads="1" noChangeAspect="1"/>
                    </pic:cNvPicPr>
                  </pic:nvPicPr>
                  <pic:blipFill>
                    <a:blip r:embed="rId47"/>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图4：</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kcal/mol（图5）。CYP3A4受体制备时移除了血红素辅因子，而自动搜索盒参考同时包含血红素和晶体中的抑制剂。9AYG的参考包含多类非蛋白残基。因此，所示构象作为探索性结构结果解读。</w:t>
      </w:r>
    </w:p>
    <w:p>
      <w:pPr>
        <w:pStyle w:val="BodyText"/>
        <w:keepNext/>
        <w:spacing w:line="240" w:lineRule="auto"/>
      </w:pPr>
      <w:r>
        <w:drawing>
          <wp:inline>
            <wp:extent cx="5334000" cy="3913516"/>
            <wp:effectExtent b="0" l="0" r="0" t="0"/>
            <wp:docPr descr="" title="" id="51" name="Picture"/>
            <a:graphic>
              <a:graphicData uri="http://schemas.openxmlformats.org/drawingml/2006/picture">
                <pic:pic>
                  <pic:nvPicPr>
                    <pic:cNvPr descr="20261025_04_review_support/20261025_Figure5.png" id="52" name="Picture"/>
                    <pic:cNvPicPr>
                      <a:picLocks noChangeArrowheads="1" noChangeAspect="1"/>
                    </pic:cNvPicPr>
                  </pic:nvPicPr>
                  <pic:blipFill>
                    <a:blip r:embed="rId50"/>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图5：</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bookmarkEnd w:id="53"/>
    <w:bookmarkStart w:id="54"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在GSE60542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三个基因集具有嵌套关系，两个单味药交集均包含于XYT。因此，XYT覆盖范围更大是可预期的结果，不能据此判断协同作用。ZBM富集未达统计学显著性，但仅有77个可测基因及4个差异基因，置信区间较宽。这一结果既不能说明其无活性，也不构成其与XYT或XKC之间差异显著的证据。交集比例及GeneRatio同样不是治疗效果指标。</w:t>
      </w:r>
    </w:p>
    <w:p>
      <w:pPr>
        <w:pStyle w:val="BodyText"/>
      </w:pPr>
      <w:r>
        <w:rPr>
          <w:rFonts w:hint="eastAsia"/>
        </w:rPr>
        <w:t xml:space="preserve">氧化应激注释与氧化还原调节在甲状腺癌中的作用相符。</w:t>
      </w:r>
      <w:r>
        <w:rPr>
          <w:vertAlign w:val="superscript"/>
        </w:rPr>
        <w:t xml:space="preserve">18</w:t>
      </w:r>
      <w:r>
        <w:rPr>
          <w:rFonts w:hint="eastAsia"/>
        </w:rPr>
        <w:t xml:space="preserve">实验研究已将TRPC1与甲状腺癌细胞迁移和增殖联系起来，因此钙相关注释也值得关注。</w:t>
      </w:r>
      <w:r>
        <w:rPr>
          <w:vertAlign w:val="superscript"/>
        </w:rPr>
        <w:t xml:space="preserve">19</w:t>
      </w:r>
      <w:r>
        <w:rPr>
          <w:rFonts w:hint="eastAsia"/>
        </w:rPr>
        <w:t xml:space="preserve">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相比基因集结果，单基因表达结果需要更审慎地解释。POLB虽存在统计学差异，但变化小于0.1个log2单位；CACNA1H和CYP3A4未见显著表达差异。转录水平与蛋白活性是不同指标，下一步需要通过功能实验考察所提出的相互作用。CYP3A4参与凡德他尼代谢，</w:t>
      </w:r>
      <w:r>
        <w:rPr>
          <w:vertAlign w:val="superscript"/>
        </w:rPr>
        <w:t xml:space="preserve">20</w:t>
      </w:r>
      <w:r>
        <w:rPr>
          <w:rFonts w:hint="eastAsia"/>
        </w:rPr>
        <w:t xml:space="preserve">因此药物代谢也是其与中药成分关联的一种可能背景。对接构象提供的支持有限，因为CYP3A4缺少血红素辅因子，自动搜索区域也尚不能作为经过验证的结合位点。</w:t>
      </w:r>
    </w:p>
    <w:p>
      <w:pPr>
        <w:pStyle w:val="BodyText"/>
      </w:pPr>
      <w:r>
        <w:rPr>
          <w:rFonts w:hint="eastAsia"/>
        </w:rPr>
        <w:t xml:space="preserve">既往β-谷甾醇研究提供了参考，但实验体系有所不同。Cao等研究了非小细胞肺癌，</w:t>
      </w:r>
      <w:r>
        <w:rPr>
          <w:vertAlign w:val="superscript"/>
        </w:rPr>
        <w:t xml:space="preserve">21</w:t>
      </w:r>
      <w:r>
        <w:rPr>
          <w:rFonts w:hint="eastAsia"/>
        </w:rPr>
        <w:t xml:space="preserve">Chen等则在与桥本病相关的炎症性甲状腺细胞模型中研究夏枯草成分。</w:t>
      </w:r>
      <w:r>
        <w:rPr>
          <w:vertAlign w:val="superscript"/>
        </w:rPr>
        <w:t xml:space="preserve">22</w:t>
      </w:r>
      <w:r>
        <w:rPr>
          <w:rFonts w:hint="eastAsia"/>
        </w:rPr>
        <w:t xml:space="preserve">这些工作均不能确立本研究提出的PTC相互作用。Wnt和Keap1/Nrf2信号与甲状腺癌生物学相关，</w:t>
      </w:r>
      <w:r>
        <w:rPr>
          <w:vertAlign w:val="superscript"/>
        </w:rPr>
        <w:t xml:space="preserve">23,24</w:t>
      </w:r>
      <w:r>
        <w:rPr>
          <w:rFonts w:hint="eastAsia"/>
        </w:rPr>
        <w:t xml:space="preserve">但本研究未测量所选草药对这些通路的调节。</w:t>
      </w:r>
    </w:p>
    <w:p>
      <w:pPr>
        <w:pStyle w:val="BodyText"/>
      </w:pPr>
      <w:r>
        <w:rPr>
          <w:rFonts w:hint="eastAsia"/>
        </w:rPr>
        <w:t xml:space="preserve">本研究存在以下局限。靶点信息混合了证据强度不同的已记录关联和预测关联。BindingDB记录整合时未按物种或亲和力限制，影响其作为人类治疗靶点的解释。较宽的疾病列表及全注释范围的GO/KEGG背景可能偏向研究较充分的基因和共享通路。疾病限制背景分析处理了表达重叠检验中的背景选择问题，而基因相关性和数据库覆盖度仍会影响功能结果。表达队列仅代表PTC，组织成分差异也可能参与所观察到的变化。因此，本研究支持的是疾病关联，仍需使用成分明确的制剂在接受处理的模型中验证。</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54"/>
    <w:bookmarkStart w:id="55" w:name="结论"/>
    <w:p>
      <w:pPr>
        <w:pStyle w:val="Heading1"/>
      </w:pPr>
      <w:r>
        <w:rPr>
          <w:rFonts w:hint="eastAsia"/>
        </w:rPr>
        <w:t xml:space="preserve">结论</w:t>
      </w:r>
    </w:p>
    <w:p>
      <w:pPr>
        <w:pStyle w:val="FirstParagraph"/>
      </w:pPr>
      <w:r>
        <w:rPr>
          <w:rFonts w:hint="eastAsia"/>
        </w:rPr>
        <w:t xml:space="preserve">XYT和XKC候选基因在配对PTC组织差异表达基因中富集，采用疾病限制背景后结论仍成立。ZBM的富集证据尚不明确，三个预选基因均未达到联合差异表达标准。这些结果为进一步开展所选草药的功能研究提供了优先考察的疾病相关基因。</w:t>
      </w:r>
    </w:p>
    <w:bookmarkEnd w:id="55"/>
    <w:bookmarkStart w:id="56"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56"/>
    <w:bookmarkStart w:id="57" w:name="基金资助"/>
    <w:p>
      <w:pPr>
        <w:pStyle w:val="Heading1"/>
      </w:pPr>
      <w:r>
        <w:rPr>
          <w:rFonts w:hint="eastAsia"/>
        </w:rPr>
        <w:t xml:space="preserve">基金资助</w:t>
      </w:r>
    </w:p>
    <w:p>
      <w:pPr>
        <w:pStyle w:val="FirstParagraph"/>
      </w:pPr>
      <w:r>
        <w:rPr>
          <w:rFonts w:hint="eastAsia"/>
        </w:rPr>
        <w:t xml:space="preserve">本研究得到国家中医药管理局全国名老中医药专家王文春传承工作室建设项目（国中医药人教发〔2010〕59号）和上海市科学技术委员会上海市中医肿瘤临床医学研究中心项目（21MC1930500）的支持。此外，2025年上海市老年教育理论研究中心课题（ZX0551-25）及2025年“卫生健康数智化转型背景下上海复合型数智健康人才培养政策与路径研究”（2025JZ02）为本研究提供支持。</w:t>
      </w:r>
    </w:p>
    <w:bookmarkEnd w:id="57"/>
    <w:bookmarkStart w:id="58"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58"/>
    <w:bookmarkStart w:id="59"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59"/>
    <w:bookmarkStart w:id="60" w:name="作者贡献"/>
    <w:p>
      <w:pPr>
        <w:pStyle w:val="Heading1"/>
      </w:pPr>
      <w:r>
        <w:rPr>
          <w:rFonts w:hint="eastAsia"/>
        </w:rPr>
        <w:t xml:space="preserve">作者贡献</w:t>
      </w:r>
    </w:p>
    <w:p>
      <w:pPr>
        <w:pStyle w:val="FirstParagraph"/>
      </w:pPr>
      <w:r>
        <w:t xml:space="preserve">Tao </w:t>
      </w:r>
      <w:r>
        <w:rPr>
          <w:rFonts w:hint="eastAsia"/>
        </w:rPr>
        <w:t xml:space="preserve">Li：数据收集、整理及分析。Jiacai</w:t>
      </w:r>
      <w:r>
        <w:t xml:space="preserve"> </w:t>
      </w:r>
      <w:r>
        <w:rPr>
          <w:rFonts w:hint="eastAsia"/>
        </w:rPr>
        <w:t xml:space="preserve">Li：研究指导、稿件审阅与修改。Yajie</w:t>
      </w:r>
      <w:r>
        <w:t xml:space="preserve"> </w:t>
      </w:r>
      <w:r>
        <w:rPr>
          <w:rFonts w:hint="eastAsia"/>
        </w:rPr>
        <w:t xml:space="preserve">Ding：数据整理、稿件审阅与修改。Zhiyu</w:t>
      </w:r>
      <w:r>
        <w:t xml:space="preserve"> </w:t>
      </w:r>
      <w:r>
        <w:rPr>
          <w:rFonts w:hint="eastAsia"/>
        </w:rPr>
        <w:t xml:space="preserve">Luo：数据分析。Xing</w:t>
      </w:r>
      <w:r>
        <w:t xml:space="preserve"> </w:t>
      </w:r>
      <w:r>
        <w:rPr>
          <w:rFonts w:hint="eastAsia"/>
        </w:rPr>
        <w:t xml:space="preserve">Zhang：数据整理、稿件审阅与修改。Pengfei</w:t>
      </w:r>
      <w:r>
        <w:t xml:space="preserve"> </w:t>
      </w:r>
      <w:r>
        <w:rPr>
          <w:rFonts w:hint="eastAsia"/>
        </w:rPr>
        <w:t xml:space="preserve">Yang：研究指导。全体作者已审阅并批准最终稿。</w:t>
      </w:r>
    </w:p>
    <w:bookmarkEnd w:id="60"/>
    <w:bookmarkStart w:id="61"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基因列表、样本和配对清单、差异表达结果、富集检验及质量控制图见补充材料。表达数据和平台注释可通过GEO编号GSE60542及GPL570获取。底层网络药理学数据可向通讯作者提出合理申请获取。分析代码不公开。</w:t>
      </w:r>
    </w:p>
    <w:bookmarkEnd w:id="61"/>
    <w:bookmarkStart w:id="62"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62"/>
    <w:sectPr>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Noto Sans CJK SC" w:hAnsi="Noto Sans CJK SC" w:eastAsia="Noto Sans CJK SC"/>
      <w:sz w:val="21"/>
    </w:rPr>
  </w:style>
  <w:style w:styleId="BodyText" w:type="paragraph">
    <w:name w:val="Body Text"/>
    <w:basedOn w:val="Normal"/>
    <w:link w:val="BodyTextChar"/>
    <w:qFormat/>
    <w:pPr>
      <w:spacing w:after="180" w:before="180" w:line="300" w:lineRule="auto"/>
    </w:pPr>
    <w:rPr>
      <w:rFonts w:ascii="Noto Sans CJK SC" w:hAnsi="Noto Sans CJK SC" w:eastAsia="Noto Sans CJK SC"/>
      <w:sz w:val="21"/>
    </w:rPr>
  </w:style>
  <w:style w:customStyle="1" w:styleId="FirstParagraph" w:type="paragraph">
    <w:name w:val="First Paragraph"/>
    <w:basedOn w:val="BodyText"/>
    <w:next w:val="BodyText"/>
    <w:qFormat/>
    <w:pPr>
      <w:spacing w:line="300" w:lineRule="auto"/>
    </w:pPr>
    <w:rPr>
      <w:rFonts w:ascii="Noto Sans CJK SC" w:hAnsi="Noto Sans CJK SC" w:eastAsia="Noto Sans CJK SC"/>
      <w:sz w:val="21"/>
    </w:rPr>
  </w:style>
  <w:style w:customStyle="1" w:styleId="Compact" w:type="paragraph">
    <w:name w:val="Compact"/>
    <w:basedOn w:val="BodyText"/>
    <w:qFormat/>
    <w:pPr>
      <w:spacing w:after="36" w:before="36" w:line="300" w:lineRule="auto"/>
    </w:pPr>
    <w:rPr>
      <w:rFonts w:ascii="Noto Sans CJK SC" w:hAnsi="Noto Sans CJK SC" w:eastAsia="Noto Sans CJK SC"/>
      <w:sz w:val="21"/>
    </w:rPr>
  </w:style>
  <w:style w:styleId="Title" w:type="paragraph">
    <w:name w:val="Title"/>
    <w:basedOn w:val="Normal"/>
    <w:next w:val="BodyText"/>
    <w:link w:val="TitleChar"/>
    <w:uiPriority w:val="10"/>
    <w:qFormat/>
    <w:rsid w:val="00A10FD9"/>
    <w:pPr>
      <w:spacing w:after="80" w:line="300" w:lineRule="auto"/>
      <w:contextualSpacing/>
      <w:jc w:val="center"/>
    </w:pPr>
    <w:rPr>
      <w:rFonts w:asciiTheme="majorHAnsi" w:cstheme="majorBidi" w:eastAsiaTheme="majorEastAsia" w:hAnsiTheme="majorHAnsi" w:ascii="Noto Sans CJK SC" w:hAnsi="Noto Sans CJK SC" w:eastAsia="Noto Sans CJK SC"/>
      <w:sz w:val="21"/>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300" w:lineRule="auto"/>
    </w:pPr>
    <w:rPr>
      <w:rFonts w:cstheme="majorBidi" w:eastAsiaTheme="majorEastAsia" w:ascii="Noto Sans CJK SC" w:hAnsi="Noto Sans CJK SC" w:eastAsia="Noto Sans CJK SC"/>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00" w:lineRule="auto"/>
    </w:pPr>
    <w:rPr>
      <w:rFonts w:ascii="Noto Sans CJK SC" w:hAnsi="Noto Sans CJK SC" w:eastAsia="Noto Sans CJK SC"/>
      <w:sz w:val="21"/>
      <w:szCs w:val="24"/>
    </w:rPr>
  </w:style>
  <w:style w:styleId="Date" w:type="paragraph">
    <w:name w:val="Date"/>
    <w:basedOn w:val="Title"/>
    <w:next w:val="BodyText"/>
    <w:qFormat/>
    <w:pPr>
      <w:keepNext/>
      <w:keepLines/>
      <w:spacing w:line="300" w:lineRule="auto"/>
    </w:pPr>
    <w:rPr>
      <w:rFonts w:ascii="Noto Sans CJK SC" w:hAnsi="Noto Sans CJK SC" w:eastAsia="Noto Sans CJK SC"/>
      <w:sz w:val="21"/>
      <w:szCs w:val="24"/>
    </w:rPr>
  </w:style>
  <w:style w:customStyle="1" w:styleId="AbstractTitle" w:type="paragraph">
    <w:name w:val="Abstract Title"/>
    <w:basedOn w:val="Normal"/>
    <w:next w:val="Abstract"/>
    <w:qFormat/>
    <w:pPr>
      <w:keepNext/>
      <w:keepLines/>
      <w:spacing w:after="0" w:before="300" w:line="300" w:lineRule="auto"/>
      <w:jc w:val="center"/>
    </w:pPr>
    <w:rPr>
      <w:rFonts w:ascii="Noto Sans CJK SC" w:hAnsi="Noto Sans CJK SC" w:eastAsia="Noto Sans CJK SC"/>
      <w:b/>
      <w:sz w:val="21"/>
      <w:szCs w:val="20"/>
    </w:rPr>
  </w:style>
  <w:style w:customStyle="1" w:styleId="Abstract" w:type="paragraph">
    <w:name w:val="Abstract"/>
    <w:basedOn w:val="Normal"/>
    <w:next w:val="BodyText"/>
    <w:qFormat/>
    <w:pPr>
      <w:keepNext/>
      <w:keepLines/>
      <w:spacing w:after="300" w:before="100" w:line="300" w:lineRule="auto"/>
    </w:pPr>
    <w:rPr>
      <w:rFonts w:ascii="Noto Sans CJK SC" w:hAnsi="Noto Sans CJK SC" w:eastAsia="Noto Sans CJK SC"/>
      <w:sz w:val="21"/>
      <w:szCs w:val="20"/>
    </w:rPr>
  </w:style>
  <w:style w:styleId="Bibliography" w:type="paragraph">
    <w:name w:val="Bibliography"/>
    <w:basedOn w:val="Normal"/>
    <w:next w:val="Bibliography"/>
    <w:qFormat/>
    <w:pPr>
      <w:spacing w:line="300" w:lineRule="auto"/>
    </w:pPr>
    <w:rPr>
      <w:rFonts w:ascii="Noto Sans CJK SC" w:hAnsi="Noto Sans CJK SC" w:eastAsia="Noto Sans CJK SC"/>
      <w:sz w:val="21"/>
    </w:rPr>
  </w:style>
  <w:style w:styleId="Heading1" w:type="paragraph">
    <w:name w:val="heading 1"/>
    <w:basedOn w:val="Normal"/>
    <w:next w:val="BodyText"/>
    <w:link w:val="Heading1Char"/>
    <w:uiPriority w:val="9"/>
    <w:qFormat/>
    <w:rsid w:val="00A10FD9"/>
    <w:pPr>
      <w:keepNext/>
      <w:keepLines/>
      <w:spacing w:after="80" w:before="360" w:line="300" w:lineRule="auto"/>
      <w:outlineLvl w:val="0"/>
    </w:pPr>
    <w:rPr>
      <w:rFonts w:asciiTheme="majorHAnsi" w:cstheme="majorBidi" w:eastAsiaTheme="majorEastAsia" w:hAnsiTheme="majorHAnsi" w:ascii="Noto Sans CJK SC" w:hAnsi="Noto Sans CJK SC" w:eastAsia="Noto Sans CJK SC"/>
      <w:color w:themeColor="accent1" w:themeShade="BF" w:val="0F4761"/>
      <w:sz w:val="21"/>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00" w:lineRule="auto"/>
      <w:outlineLvl w:val="1"/>
    </w:pPr>
    <w:rPr>
      <w:rFonts w:asciiTheme="majorHAnsi" w:cstheme="majorBidi" w:eastAsiaTheme="majorEastAsia" w:hAnsiTheme="majorHAnsi" w:ascii="Noto Sans CJK SC" w:hAnsi="Noto Sans CJK SC" w:eastAsia="Noto Sans CJK SC"/>
      <w:color w:themeColor="accent1" w:themeShade="BF" w:val="0F4761"/>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00" w:lineRule="auto"/>
      <w:outlineLvl w:val="2"/>
    </w:pPr>
    <w:rPr>
      <w:rFonts w:cstheme="majorBidi" w:eastAsiaTheme="majorEastAsia" w:ascii="Noto Sans CJK SC" w:hAnsi="Noto Sans CJK SC" w:eastAsia="Noto Sans CJK SC"/>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00" w:lineRule="auto"/>
      <w:outlineLvl w:val="3"/>
    </w:pPr>
    <w:rPr>
      <w:rFonts w:cstheme="majorBidi" w:eastAsiaTheme="majorEastAsia" w:ascii="Noto Sans CJK SC" w:hAnsi="Noto Sans CJK SC" w:eastAsia="Noto Sans CJK SC"/>
      <w:i/>
      <w:iCs/>
      <w:color w:themeColor="accent1" w:themeShade="BF" w:val="0F4761"/>
      <w:sz w:val="21"/>
    </w:rPr>
  </w:style>
  <w:style w:styleId="Heading5" w:type="paragraph">
    <w:name w:val="heading 5"/>
    <w:basedOn w:val="Normal"/>
    <w:next w:val="BodyText"/>
    <w:link w:val="Heading5Char"/>
    <w:uiPriority w:val="9"/>
    <w:semiHidden/>
    <w:unhideWhenUsed/>
    <w:qFormat/>
    <w:rsid w:val="00A10FD9"/>
    <w:pPr>
      <w:keepNext/>
      <w:keepLines/>
      <w:spacing w:after="40" w:before="80" w:line="300" w:lineRule="auto"/>
      <w:outlineLvl w:val="4"/>
    </w:pPr>
    <w:rPr>
      <w:rFonts w:cstheme="majorBidi" w:eastAsiaTheme="majorEastAsia" w:ascii="Noto Sans CJK SC" w:hAnsi="Noto Sans CJK SC" w:eastAsia="Noto Sans CJK SC"/>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line="300" w:lineRule="auto"/>
      <w:outlineLvl w:val="5"/>
    </w:pPr>
    <w:rPr>
      <w:rFonts w:cstheme="majorBidi" w:eastAsiaTheme="majorEastAsia" w:ascii="Noto Sans CJK SC" w:hAnsi="Noto Sans CJK SC" w:eastAsia="Noto Sans CJK SC"/>
      <w:i/>
      <w:iCs/>
      <w:color w:themeColor="text1" w:themeTint="A6" w:val="595959"/>
      <w:sz w:val="21"/>
    </w:rPr>
  </w:style>
  <w:style w:styleId="Heading7" w:type="paragraph">
    <w:name w:val="heading 7"/>
    <w:basedOn w:val="Normal"/>
    <w:next w:val="BodyText"/>
    <w:link w:val="Heading7Char"/>
    <w:uiPriority w:val="9"/>
    <w:semiHidden/>
    <w:unhideWhenUsed/>
    <w:qFormat/>
    <w:rsid w:val="00A10FD9"/>
    <w:pPr>
      <w:keepNext/>
      <w:keepLines/>
      <w:spacing w:after="0" w:before="40" w:line="300" w:lineRule="auto"/>
      <w:outlineLvl w:val="6"/>
    </w:pPr>
    <w:rPr>
      <w:rFonts w:cstheme="majorBidi" w:eastAsiaTheme="majorEastAsia" w:ascii="Noto Sans CJK SC" w:hAnsi="Noto Sans CJK SC" w:eastAsia="Noto Sans CJK SC"/>
      <w:color w:themeColor="text1" w:themeTint="A6" w:val="595959"/>
      <w:sz w:val="21"/>
    </w:rPr>
  </w:style>
  <w:style w:styleId="Heading8" w:type="paragraph">
    <w:name w:val="heading 8"/>
    <w:basedOn w:val="Normal"/>
    <w:next w:val="BodyText"/>
    <w:link w:val="Heading8Char"/>
    <w:uiPriority w:val="9"/>
    <w:semiHidden/>
    <w:unhideWhenUsed/>
    <w:qFormat/>
    <w:rsid w:val="00A10FD9"/>
    <w:pPr>
      <w:keepNext/>
      <w:keepLines/>
      <w:spacing w:after="0" w:line="300" w:lineRule="auto"/>
      <w:outlineLvl w:val="7"/>
    </w:pPr>
    <w:rPr>
      <w:rFonts w:cstheme="majorBidi" w:eastAsiaTheme="majorEastAsia" w:ascii="Noto Sans CJK SC" w:hAnsi="Noto Sans CJK SC" w:eastAsia="Noto Sans CJK SC"/>
      <w:i/>
      <w:iCs/>
      <w:color w:themeColor="text1" w:themeTint="D8" w:val="272727"/>
      <w:sz w:val="21"/>
    </w:rPr>
  </w:style>
  <w:style w:styleId="Heading9" w:type="paragraph">
    <w:name w:val="heading 9"/>
    <w:basedOn w:val="Normal"/>
    <w:next w:val="BodyText"/>
    <w:link w:val="Heading9Char"/>
    <w:uiPriority w:val="9"/>
    <w:semiHidden/>
    <w:unhideWhenUsed/>
    <w:qFormat/>
    <w:rsid w:val="00A10FD9"/>
    <w:pPr>
      <w:keepNext/>
      <w:keepLines/>
      <w:spacing w:after="0" w:line="300" w:lineRule="auto"/>
      <w:outlineLvl w:val="8"/>
    </w:pPr>
    <w:rPr>
      <w:rFonts w:cstheme="majorBidi" w:eastAsiaTheme="majorEastAsia" w:ascii="Noto Sans CJK SC" w:hAnsi="Noto Sans CJK SC" w:eastAsia="Noto Sans CJK SC"/>
      <w:color w:themeColor="text1" w:themeTint="D8" w:val="272727"/>
      <w:sz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Noto Sans CJK SC" w:hAnsi="Noto Sans CJK SC" w:eastAsia="Noto Sans CJK SC"/>
      <w:sz w:val="21"/>
    </w:rPr>
  </w:style>
  <w:style w:styleId="FootnoteText" w:type="paragraph">
    <w:name w:val="Footnote Text"/>
    <w:basedOn w:val="Normal"/>
    <w:next w:val="FootnoteText"/>
    <w:uiPriority w:val="9"/>
    <w:unhideWhenUsed/>
    <w:qFormat/>
    <w:pPr>
      <w:spacing w:line="300" w:lineRule="auto"/>
    </w:pPr>
    <w:rPr>
      <w:rFonts w:ascii="Noto Sans CJK SC" w:hAnsi="Noto Sans CJK SC" w:eastAsia="Noto Sans CJK SC"/>
      <w:sz w:val="21"/>
    </w:rPr>
  </w:style>
  <w:style w:styleId="FootnoteBlockText" w:type="paragraph">
    <w:name w:val="Footnote Block Text"/>
    <w:basedOn w:val="FootnoteText"/>
    <w:next w:val="FootnoteText"/>
    <w:uiPriority w:val="9"/>
    <w:unhideWhenUsed/>
    <w:qFormat/>
    <w:pPr>
      <w:spacing w:after="100" w:before="100" w:line="300" w:lineRule="auto"/>
      <w:ind w:firstLine="0" w:left="480" w:right="480"/>
    </w:pPr>
    <w:rPr>
      <w:rFonts w:ascii="Noto Sans CJK SC" w:hAnsi="Noto Sans CJK SC" w:eastAsia="Noto Sans CJK SC"/>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00" w:lineRule="auto"/>
    </w:pPr>
    <w:rPr>
      <w:rFonts w:ascii="Noto Sans CJK SC" w:hAnsi="Noto Sans CJK SC" w:eastAsia="Noto Sans CJK SC"/>
      <w:b/>
      <w:sz w:val="21"/>
    </w:rPr>
  </w:style>
  <w:style w:customStyle="1" w:styleId="Definition" w:type="paragraph">
    <w:name w:val="Definition"/>
    <w:basedOn w:val="Normal"/>
    <w:pPr>
      <w:spacing w:line="300" w:lineRule="auto"/>
    </w:pPr>
    <w:rPr>
      <w:rFonts w:ascii="Noto Sans CJK SC" w:hAnsi="Noto Sans CJK SC" w:eastAsia="Noto Sans CJK SC"/>
      <w:sz w:val="21"/>
    </w:rPr>
  </w:style>
  <w:style w:styleId="Caption" w:type="paragraph">
    <w:name w:val="Caption"/>
    <w:basedOn w:val="Normal"/>
    <w:link w:val="BodyTextChar"/>
    <w:pPr>
      <w:spacing w:after="120" w:before="0" w:line="300" w:lineRule="auto"/>
    </w:pPr>
    <w:rPr>
      <w:rFonts w:ascii="Noto Sans CJK SC" w:hAnsi="Noto Sans CJK SC" w:eastAsia="Noto Sans CJK SC"/>
      <w:i/>
      <w:sz w:val="21"/>
    </w:rPr>
  </w:style>
  <w:style w:customStyle="1" w:styleId="TableCaption" w:type="paragraph">
    <w:name w:val="Table Caption"/>
    <w:basedOn w:val="Caption"/>
    <w:pPr>
      <w:keepNext/>
      <w:spacing w:line="300" w:lineRule="auto"/>
    </w:pPr>
    <w:rPr>
      <w:rFonts w:ascii="Noto Sans CJK SC" w:hAnsi="Noto Sans CJK SC" w:eastAsia="Noto Sans CJK SC"/>
      <w:sz w:val="21"/>
    </w:rPr>
  </w:style>
  <w:style w:customStyle="1" w:styleId="ImageCaption" w:type="paragraph">
    <w:name w:val="Image Caption"/>
    <w:basedOn w:val="Caption"/>
    <w:pPr>
      <w:spacing w:line="300" w:lineRule="auto"/>
    </w:pPr>
    <w:rPr>
      <w:rFonts w:ascii="Noto Sans CJK SC" w:hAnsi="Noto Sans CJK SC" w:eastAsia="Noto Sans CJK SC"/>
      <w:sz w:val="21"/>
    </w:rPr>
  </w:style>
  <w:style w:customStyle="1" w:styleId="Figure" w:type="paragraph">
    <w:name w:val="Figure"/>
    <w:basedOn w:val="Normal"/>
    <w:pPr>
      <w:spacing w:line="300" w:lineRule="auto"/>
    </w:pPr>
    <w:rPr>
      <w:rFonts w:ascii="Noto Sans CJK SC" w:hAnsi="Noto Sans CJK SC" w:eastAsia="Noto Sans CJK SC"/>
      <w:sz w:val="21"/>
    </w:rPr>
  </w:style>
  <w:style w:customStyle="1" w:styleId="CaptionedFigure" w:type="paragraph">
    <w:name w:val="Captioned Figure"/>
    <w:basedOn w:val="Figure"/>
    <w:pPr>
      <w:keepNext/>
      <w:spacing w:line="300" w:lineRule="auto"/>
    </w:pPr>
    <w:rPr>
      <w:rFonts w:ascii="Noto Sans CJK SC" w:hAnsi="Noto Sans CJK SC" w:eastAsia="Noto Sans CJK SC"/>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00" w:lineRule="auto"/>
      <w:outlineLvl w:val="9"/>
    </w:pPr>
    <w:rPr>
      <w:rFonts w:asciiTheme="majorHAnsi" w:cstheme="majorBidi" w:eastAsiaTheme="majorEastAsia" w:hAnsiTheme="majorHAnsi" w:ascii="Noto Sans CJK SC" w:hAnsi="Noto Sans CJK SC" w:eastAsia="Noto Sans CJK SC"/>
      <w:b w:val="0"/>
      <w:bCs w:val="0"/>
      <w:color w:themeColor="accent1" w:themeShade="BF" w:val="365F91"/>
      <w:sz w:val="21"/>
    </w:rPr>
  </w:style>
  <w:style w:customStyle="1" w:styleId="SourceCode" w:type="paragraph">
    <w:name w:val="Source Code"/>
    <w:basedOn w:val="Normal"/>
    <w:link w:val="VerbatimChar"/>
    <w:pPr>
      <w:wordWrap w:val="off"/>
      <w:spacing w:line="300" w:lineRule="auto"/>
    </w:pPr>
    <w:rPr>
      <w:rFonts w:ascii="Noto Sans CJK SC" w:hAnsi="Noto Sans CJK SC" w:eastAsia="Noto Sans CJK SC"/>
      <w:sz w:val="21"/>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2026-10-25T00:16:58Z</dcterms:created>
  <dcterms:modified xsi:type="dcterms:W3CDTF">2026-10-25T00:16:58Z</dcterms:modified>
</cp:coreProperties>
</file>

<file path=docProps/custom.xml><?xml version="1.0" encoding="utf-8"?>
<Properties xmlns="http://schemas.openxmlformats.org/officeDocument/2006/custom-properties" xmlns:vt="http://schemas.openxmlformats.org/officeDocument/2006/docPropsVTypes"/>
</file>