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466af8ca9896d7b81e603a1dfa8416874bec74"/>
    <w:p>
      <w:pPr>
        <w:pStyle w:val="Heading1"/>
      </w:pPr>
      <w:r>
        <w:t xml:space="preserve">Core herbs selected from Xiao Ying Tang: network pharmacology and paired transcriptome analysis in papillary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bookmarkEnd w:id="59"/>
    <w:bookmarkStart w:id="60" w:name="abstract"/>
    <w:p>
      <w:pPr>
        <w:pStyle w:val="Heading1"/>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Methods:</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XYT- and XKC-associated genes were over-represented among genes altered in PTC tissue. These associations identify candidates for functional investigation of the selected herbs.</w:t>
      </w:r>
    </w:p>
    <w:p>
      <w:pPr>
        <w:pStyle w:val="BodyText"/>
      </w:pPr>
      <w:r>
        <w:rPr>
          <w:b/>
          <w:bCs/>
        </w:rPr>
        <w:t xml:space="preserve">Keywords:</w:t>
      </w:r>
      <w:r>
        <w:t xml:space="preserve"> </w:t>
      </w:r>
      <w:r>
        <w:t xml:space="preserve">Thyroid Neoplasms; Medicine, Chinese Traditional; Gene Ontology; Computational Biology; Transcriptome</w:t>
      </w:r>
    </w:p>
    <w:bookmarkEnd w:id="60"/>
    <w:bookmarkStart w:id="61"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Exploratory docking of β-sitosterol was included to examine candidate compound–protein interactions.</w:t>
      </w:r>
    </w:p>
    <w:bookmarkEnd w:id="61"/>
    <w:bookmarkStart w:id="62" w:name="methodology"/>
    <w:p>
      <w:pPr>
        <w:pStyle w:val="Heading1"/>
      </w:pPr>
      <w:r>
        <w:t xml:space="preserve">Methodology</w:t>
      </w:r>
    </w:p>
    <w:p>
      <w:pPr>
        <w:pStyle w:val="FirstParagraph"/>
      </w:pPr>
      <w:r>
        <w:t xml:space="preserve">This study was conducted at Shanghai University of Medicine &amp; Health Sciences, Shanghai, China. The analysis combined herb–compound and compound–gene data, functional enrichment, paired tumour-expression profiles, and exploratory molecular docking.</w:t>
      </w:r>
    </w:p>
    <w:p>
      <w:pPr>
        <w:pStyle w:val="BodyText"/>
      </w:pPr>
      <w:r>
        <w:t xml:space="preserve">Herb–ingredient records were obtained from TCMSP and linked to PubChem compound identifiers (CIDs) by matching lower-case compound names to a synonym table.</w:t>
      </w:r>
      <w:r>
        <w:rPr>
          <w:vertAlign w:val="superscript"/>
        </w:rPr>
        <w:t xml:space="preserve">4,5</w:t>
      </w:r>
      <w:r>
        <w:t xml:space="preserve"> </w:t>
      </w:r>
      <w:r>
        <w:t xml:space="preserve">Compound-associated genes were assembled from BindingDB, BATMAN-TCM known and predicted interactions, and the IUPHAR/BPS Guide to PHARMACOLOGY.</w:t>
      </w:r>
      <w:r>
        <w:rPr>
          <w:vertAlign w:val="superscript"/>
        </w:rPr>
        <w:t xml:space="preserve">6,7,8</w:t>
      </w:r>
      <w:r>
        <w:t xml:space="preserve"> </w:t>
      </w:r>
      <w:r>
        <w:t>UniProt protein identifiers in BindingDB were mapped to the corresponding gene symbols. Recorded associations from these sources were retained, and BATMAN-TCM predictions were included when the prediction score exceeded 0.80. The resulting CID–gene records were combined and gene symbols deduplicated within each CID. TCMSP supplied the herb–ingredient inventory; the retained gene associations came from the three target resources listed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Duplicate herb–compound records were collapsed within each set. Distinct CIDs were counted at three stages: all mapped ingredients, ingredients linked to retained genes, and ingredients linked to disease-overlapping genes.</w:t>
      </w:r>
    </w:p>
    <w:p>
      <w:pPr>
        <w:pStyle w:val="BodyText"/>
      </w:pPr>
      <w:r>
        <w:t xml:space="preserve">Thyroid-tumour-associated genes were obtained from a GeneCards export containing 12,987 unique gene symbols.</w:t>
      </w:r>
      <w:r>
        <w:rPr>
          <w:vertAlign w:val="superscript"/>
        </w:rPr>
        <w:t xml:space="preserve">9</w:t>
      </w:r>
      <w:r>
        <w:t xml:space="preserve"> </w:t>
      </w:r>
      <w:r>
        <w:t xml:space="preserve">The complete exported gene list was used for all three comparisons. Ingredient-associated gene symbols were split on semicolons, deduplicated, and intersected with the disease list to define the ZBM, XKC, and XYT candidate sets.</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The submitter’s fRMA-normalised log2 expression matrix was used for analysis.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Unique gene symbols were mapped to Entrez identifiers with</w:t>
      </w:r>
      <w:r>
        <w:t xml:space="preserve"> </w:t>
      </w:r>
      <w:r>
        <w:rPr>
          <w:rStyle w:val="VerbatimChar"/>
        </w:rPr>
        <w:t xml:space="preserve">bitr</w:t>
      </w:r>
      <w:r>
        <w:t xml:space="preserve"> </w:t>
      </w:r>
      <w:r>
        <w:t xml:space="preserve">and org.Hs.eg.db, and all returned identifiers were used for enrichment analysis in clusterProfiler.</w:t>
      </w:r>
      <w:r>
        <w:rPr>
          <w:vertAlign w:val="superscript"/>
        </w:rPr>
        <w:t xml:space="preserve">12</w:t>
      </w:r>
      <w:r>
        <w:t xml:space="preserve"> </w:t>
      </w:r>
      <w:r>
        <w:t xml:space="preserve">GO analysis covered biological process (BP), molecular function (MF), and cellular component (CC); KEGG analysis used human annotations. Enrichment was assessed by upper-tail hypergeometric tests with Benjamini–Hochberg correction,</w:t>
      </w:r>
      <w:r>
        <w:t xml:space="preserve"> </w:t>
      </w:r>
      <w:r>
        <w:rPr>
          <w:rStyle w:val="VerbatimChar"/>
        </w:rPr>
        <w:t xml:space="preserve">pvalueCutoff = 0.05</w:t>
      </w:r>
      <w:r>
        <w:t xml:space="preserve">, and</w:t>
      </w:r>
      <w:r>
        <w:t xml:space="preserve"> </w:t>
      </w:r>
      <w:r>
        <w:rPr>
          <w:rStyle w:val="VerbatimChar"/>
        </w:rPr>
        <w:t xml:space="preserve">qvalueCutoff = 0.2</w:t>
      </w:r>
      <w:r>
        <w:t xml:space="preserve">. The default annotation backgrounds comprised 18,888 genes for BP, 18,522 for MF, 19,894 for CC, and 8,859 for KEGG. Terms with adjusted P &lt;0.05 were reported.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terms absent from the significant-result tables. These figures provide a descriptive comparison of annotation profiles.</w:t>
      </w:r>
    </w:p>
    <w:p>
      <w:pPr>
        <w:pStyle w:val="BodyText"/>
      </w:pPr>
      <w:r>
        <w:t xml:space="preserve">Ligands were prepared with Open Babel, and receptor structures were obtained from RCSB PDB.</w:t>
      </w:r>
      <w:r>
        <w:rPr>
          <w:vertAlign w:val="superscript"/>
        </w:rPr>
        <w:t xml:space="preserve">13,14</w:t>
      </w:r>
      <w:r>
        <w:t xml:space="preserve"> </w:t>
      </w:r>
      <w:r>
        <w:t xml:space="preserve">Initial screening used AutoDock Vina, and supplementary β-sitosterol docking used smina.</w:t>
      </w:r>
      <w:r>
        <w:rPr>
          <w:vertAlign w:val="superscript"/>
        </w:rPr>
        <w:t xml:space="preserve">15,16</w:t>
      </w:r>
      <w:r>
        <w:t xml:space="preserve"> </w:t>
      </w:r>
      <w:r>
        <w:t xml:space="preserve">Structural assessment focused on human CYP3A4 (6UNI) and apo CaV3.2/CACNA1H (9AYG).</w:t>
      </w:r>
      <w:r>
        <w:rPr>
          <w:vertAlign w:val="superscript"/>
        </w:rPr>
        <w:t xml:space="preserve">14,17</w:t>
      </w:r>
      <w:r>
        <w:t xml:space="preserve"> </w:t>
      </w:r>
      <w:r>
        <w:t xml:space="preserve">The bacterial 4P5A structure was excluded from the human-target analysis. The initial Vina protocol specified a 20 × 20 × 20 Å search box centred on the mean receptor ATOM coordinates rounded to whole angstroms, exhaustiveness 32, and five CPU threads. Supplementary smina docking used exhaustiveness 8, nine output modes, and one CPU thread. The search box was defined from the extracted reference structure with</w:t>
      </w:r>
      <w:r>
        <w:t xml:space="preserve"> </w:t>
      </w:r>
      <w:r>
        <w:rPr>
          <w:rStyle w:val="VerbatimChar"/>
        </w:rPr>
        <w:t xml:space="preserve">--autobox_add 4</w:t>
      </w:r>
      <w:r>
        <w:t xml:space="preserve">. The minimum-score poses were examined alongside receptor identity, cofactor retention, and the residues used to define the search region.</w:t>
      </w:r>
    </w:p>
    <w:bookmarkEnd w:id="62"/>
    <w:bookmarkStart w:id="78"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covered the largest gene set, while the proportions overlapping the disease list were similar across the three sets.</w:t>
      </w:r>
    </w:p>
    <w:p>
      <w:pPr>
        <w:pStyle w:val="BodyText"/>
        <w:keepNext/>
        <w:spacing w:line="240" w:lineRule="auto"/>
      </w:pPr>
      <w:r>
        <w:drawing>
          <wp:inline>
            <wp:extent cx="5943600" cy="1981199"/>
            <wp:effectExtent b="0" l="0" r="0" t="0"/>
            <wp:docPr descr="" title="" id="64" name="Picture"/>
            <a:graphic>
              <a:graphicData uri="http://schemas.openxmlformats.org/drawingml/2006/picture">
                <pic:pic>
                  <pic:nvPicPr>
                    <pic:cNvPr descr="20261024_03_support/20261024_Figure1.png" id="65" name="Picture"/>
                    <pic:cNvPicPr>
                      <a:picLocks noChangeArrowheads="1" noChangeAspect="1"/>
                    </pic:cNvPicPr>
                  </pic:nvPicPr>
                  <pic:blipFill>
                    <a:blip r:embed="rId6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GO analysis identified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2.</w:t>
      </w:r>
    </w:p>
    <w:p>
      <w:pPr>
        <w:pStyle w:val="BodyText"/>
        <w:keepNext/>
        <w:spacing w:line="240" w:lineRule="auto"/>
      </w:pPr>
      <w:r>
        <w:drawing>
          <wp:inline>
            <wp:extent cx="5645426" cy="6492240"/>
            <wp:effectExtent b="0" l="0" r="0" t="0"/>
            <wp:docPr descr="" title="" id="67" name="Picture"/>
            <a:graphic>
              <a:graphicData uri="http://schemas.openxmlformats.org/drawingml/2006/picture">
                <pic:pic>
                  <pic:nvPicPr>
                    <pic:cNvPr descr="20261024_03_support/20261024_Figure2.png" id="68" name="Picture"/>
                    <pic:cNvPicPr>
                      <a:picLocks noChangeArrowheads="1" noChangeAspect="1"/>
                    </pic:cNvPicPr>
                  </pic:nvPicPr>
                  <pic:blipFill>
                    <a:blip r:embed="rId66"/>
                    <a:stretch>
                      <a:fillRect/>
                    </a:stretch>
                  </pic:blipFill>
                  <pic:spPr bwMode="auto">
                    <a:xfrm>
                      <a:off x="0" y="0"/>
                      <a:ext cx="5645426" cy="649224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KEGG analysis identified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significant ZBM results. Lipid and atherosclerosis was the lowest-adjusted-P KEGG term for XKC and XYT, whereas nicotine addiction ranked first for ZBM (Figure 3).</w:t>
      </w:r>
    </w:p>
    <w:p>
      <w:pPr>
        <w:pStyle w:val="BodyText"/>
        <w:keepNext/>
        <w:spacing w:line="240" w:lineRule="auto"/>
      </w:pPr>
      <w:r>
        <w:drawing>
          <wp:inline>
            <wp:extent cx="5943600" cy="3863340"/>
            <wp:effectExtent b="0" l="0" r="0" t="0"/>
            <wp:docPr descr="" title="" id="70" name="Picture"/>
            <a:graphic>
              <a:graphicData uri="http://schemas.openxmlformats.org/drawingml/2006/picture">
                <pic:pic>
                  <pic:nvPicPr>
                    <pic:cNvPr descr="20261024_03_support/20261024_Figure3.png" id="71" name="Picture"/>
                    <pic:cNvPicPr>
                      <a:picLocks noChangeArrowheads="1" noChangeAspect="1"/>
                    </pic:cNvPicPr>
                  </pic:nvPicPr>
                  <pic:blipFill>
                    <a:blip r:embed="rId6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Full enrichment results and figure source data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4).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keepNext/>
        <w:spacing w:line="240" w:lineRule="auto"/>
      </w:pPr>
      <w:r>
        <w:drawing>
          <wp:inline>
            <wp:extent cx="5943600" cy="2687539"/>
            <wp:effectExtent b="0" l="0" r="0" t="0"/>
            <wp:docPr descr="" title="" id="73" name="Picture"/>
            <a:graphic>
              <a:graphicData uri="http://schemas.openxmlformats.org/drawingml/2006/picture">
                <pic:pic>
                  <pic:nvPicPr>
                    <pic:cNvPr descr="20261025_04_review_support/20261025_Figure4.png" id="74" name="Picture"/>
                    <pic:cNvPicPr>
                      <a:picLocks noChangeArrowheads="1" noChangeAspect="1"/>
                    </pic:cNvPicPr>
                  </pic:nvPicPr>
                  <pic:blipFill>
                    <a:blip r:embed="rId72"/>
                    <a:stretch>
                      <a:fillRect/>
                    </a:stretch>
                  </pic:blipFill>
                  <pic:spPr bwMode="auto">
                    <a:xfrm>
                      <a:off x="0" y="0"/>
                      <a:ext cx="5943600" cy="268753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4:</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disease list. FDR labels show Benjamini–Hochberg-adjusted P values from the six one-sided Fisher tests.</w:t>
      </w:r>
    </w:p>
    <w:p>
      <w:pPr>
        <w:pStyle w:val="BodyText"/>
      </w:pPr>
      <w:r>
        <w:t xml:space="preserve">β-Sitosterol (CID 222284) was common to all three ingredient sets and was selected for structural exploration. Repeated CID–receptor combinations under different herb labels represented the same compound–protein pair.</w:t>
      </w:r>
    </w:p>
    <w:p>
      <w:pPr>
        <w:pStyle w:val="BodyText"/>
      </w:pPr>
      <w:r>
        <w:t xml:space="preserve">The minimum smina scores were −9.12 kcal/mol for CYP3A4 (6UNI) and −9.68 kcal/mol for CaV3.2 (9AYG) (Figure 5). The CYP3A4 receptor was prepared without its haem cofactor, while the automatic box reference included both haem and the crystallographic inhibitor. For 9AYG, the box reference contained several non-protein residue types. The displayed poses are therefore treated as exploratory structural outputs.</w:t>
      </w:r>
    </w:p>
    <w:p>
      <w:pPr>
        <w:pStyle w:val="BodyText"/>
        <w:keepNext/>
        <w:spacing w:line="240" w:lineRule="auto"/>
      </w:pPr>
      <w:r>
        <w:drawing>
          <wp:inline>
            <wp:extent cx="5672949" cy="4162202"/>
            <wp:effectExtent b="0" l="0" r="0" t="0"/>
            <wp:docPr descr="" title="" id="76" name="Picture"/>
            <a:graphic>
              <a:graphicData uri="http://schemas.openxmlformats.org/drawingml/2006/picture">
                <pic:pic>
                  <pic:nvPicPr>
                    <pic:cNvPr descr="20261025_04_review_support/20261025_Figure5.png" id="77" name="Picture"/>
                    <pic:cNvPicPr>
                      <a:picLocks noChangeArrowheads="1" noChangeAspect="1"/>
                    </pic:cNvPicPr>
                  </pic:nvPicPr>
                  <pic:blipFill>
                    <a:blip r:embed="rId75"/>
                    <a:stretch>
                      <a:fillRect/>
                    </a:stretch>
                  </pic:blipFill>
                  <pic:spPr bwMode="auto">
                    <a:xfrm>
                      <a:off x="0" y="0"/>
                      <a:ext cx="5672949" cy="4162202"/>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5:</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poses should be interpreted in light of the receptor-preparation and search-region limitations described in the text.</w:t>
      </w:r>
    </w:p>
    <w:bookmarkEnd w:id="78"/>
    <w:bookmarkStart w:id="79"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gene-level expression findings warrant a more cautious interpretation than the gene-set results. POLB showed a statistically significant change of less than 0.1 log2 units, whereas CACNA1H and CYP3A4 showed no significant expression difference. Transcript abundance and protein activity are distinct measures, so the next step is functional testing of the proposed interactions. CYP3A4 is involved in vandetanib metabolism,</w:t>
      </w:r>
      <w:r>
        <w:rPr>
          <w:vertAlign w:val="superscript"/>
        </w:rPr>
        <w:t xml:space="preserve">20</w:t>
      </w:r>
      <w:r>
        <w:t xml:space="preserve"> </w:t>
      </w:r>
      <w:r>
        <w:t xml:space="preserve">making drug metabolism another plausible context for its association with herbal compounds. The docking poses offer limited support because CYP3A4 lacked its haem cofactor and the automatic search regions were not validated binding sites.</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The findings are subject to several limitations. Target assignments combine recorded and predicted associations with different evidence strengths. BindingDB records were integrated without an organism- or affinity-based restriction, which limits interpretation as human therapeutic targets. The broad disease list and annotation-wide GO/KEGG backgrounds may favour well-annotated genes and shared pathways. The disease-restricted transcriptome analysis addressed background choice for expression overlap, while gene correlation and database coverage remain relevant to the functional results. The expression cohort represents PTC, and differences in tissue composition may contribute to the observed changes. The study therefore supports disease associations that require testing in treatment-exposed models with chemically characterised preparations.</w:t>
      </w:r>
    </w:p>
    <w:p>
      <w:pPr>
        <w:pStyle w:val="BodyText"/>
      </w:pPr>
      <w:r>
        <w:t xml:space="preserve">Further work should combine concentration–response experiments, non-malignant controls, and target perturbation with binding or functional assays. Structural follow-up should retain essential cofactors, define the binding site explicitly, and evaluate the docking protocol using a reference ligand.</w:t>
      </w:r>
    </w:p>
    <w:bookmarkEnd w:id="79"/>
    <w:bookmarkStart w:id="80"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These findings prioritise disease-associated genes for functional studies of the selected herbs.</w:t>
      </w:r>
    </w:p>
    <w:bookmarkEnd w:id="80"/>
    <w:bookmarkStart w:id="81"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81"/>
    <w:bookmarkStart w:id="82"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82"/>
    <w:bookmarkStart w:id="83" w:name="patient-consent"/>
    <w:p>
      <w:pPr>
        <w:pStyle w:val="Heading1"/>
      </w:pPr>
      <w:r>
        <w:t xml:space="preserve">Patient Consent</w:t>
      </w:r>
    </w:p>
    <w:p>
      <w:pPr>
        <w:pStyle w:val="FirstParagraph"/>
      </w:pPr>
      <w:r>
        <w:t xml:space="preserve">The study used publicly available, de-identified GEO data for secondary analysis.</w:t>
      </w:r>
    </w:p>
    <w:bookmarkEnd w:id="83"/>
    <w:bookmarkStart w:id="84"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84"/>
    <w:bookmarkStart w:id="85"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85"/>
    <w:bookmarkStart w:id="86"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86"/>
    <w:bookmarkStart w:id="87"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87"/>
    <w:sectPr>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Noto Sans CJK SC"/>
      <w:sz w:val="24"/>
    </w:rPr>
  </w:style>
  <w:style w:styleId="BodyText" w:type="paragraph">
    <w:name w:val="Body Text"/>
    <w:basedOn w:val="Normal"/>
    <w:link w:val="BodyTextChar"/>
    <w:qFormat/>
    <w:pPr>
      <w:spacing w:after="180" w:before="180" w:line="360" w:lineRule="auto"/>
    </w:pPr>
    <w:rPr>
      <w:rFonts w:ascii="Times New Roman" w:hAnsi="Times New Roman" w:eastAsia="Noto Sans CJK SC"/>
      <w:sz w:val="24"/>
    </w:rPr>
  </w:style>
  <w:style w:customStyle="1" w:styleId="FirstParagraph" w:type="paragraph">
    <w:name w:val="First Paragraph"/>
    <w:basedOn w:val="BodyText"/>
    <w:next w:val="BodyText"/>
    <w:qFormat/>
    <w:pPr>
      <w:spacing w:line="360" w:lineRule="auto"/>
    </w:pPr>
    <w:rPr>
      <w:rFonts w:ascii="Times New Roman" w:hAnsi="Times New Roman" w:eastAsia="Noto Sans CJK SC"/>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58" Type="http://schemas.openxmlformats.org/officeDocument/2006/relationships/numbering" Target="numbering.xml"/><Relationship Id="rId57" Type="http://schemas.openxmlformats.org/officeDocument/2006/relationships/styles" Target="styles.xml"/><Relationship Id="rId56" Type="http://schemas.openxmlformats.org/officeDocument/2006/relationships/settings" Target="settings.xml"/><Relationship Id="rId55" Type="http://schemas.openxmlformats.org/officeDocument/2006/relationships/webSettings" Target="webSettings.xml"/><Relationship Id="rId54" Type="http://schemas.openxmlformats.org/officeDocument/2006/relationships/fontTable" Target="fontTable.xml"/><Relationship Id="rId53" Type="http://schemas.openxmlformats.org/officeDocument/2006/relationships/theme" Target="theme/theme1.xml"/><Relationship Id="rId52" Type="http://schemas.openxmlformats.org/officeDocument/2006/relationships/footnotes" Target="footnotes.xml"/><Relationship Id="rId5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2026-10-25T00:16:58Z</dcterms:created>
  <dcterms:modified xsi:type="dcterms:W3CDTF">2026-10-25T00:16:58Z</dcterms:modified>
</cp:coreProperties>
</file>

<file path=docProps/custom.xml><?xml version="1.0" encoding="utf-8"?>
<Properties xmlns="http://schemas.openxmlformats.org/officeDocument/2006/custom-properties" xmlns:vt="http://schemas.openxmlformats.org/officeDocument/2006/docPropsVTypes"/>
</file>