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生成日期：2026-07-19</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中以检索式 “(false localizing sign*[Title/Abstract]) OR (False localising sign*[Title/Abstract]) OR (Pseudo-localization sign[Title/Abstract])”进行主题检索，并预留 Web of Science（WoS）Topic 检索结果导入接口；对两库题录进行解析、去重后，采用 Python 进行描述性统计、期刊/国家/作者分布分析及关键词共现分析。结果：共纳入 159 篇文献（当前以 PubMed 数据为主），时间跨度为 1904—2026 年；发文量总体呈波动上升趋势，主要期刊集中于神经病学、神经外科学与神经眼科学领域；高频关键词包括 Magnetic Resonance Imaging, Diagnosis, Differential, Brain Neoplasms, Tomography, X-Ray Computed, 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Science；CiteSpace</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纳入标准：题录信息完整的期刊论文、综述、病例报告等；排除标准：会议摘要、重复发表、信息缺失无法解析的记录。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123 条记录，WoS 获得 36 条记录（如已导入）。去重后最终纳入 159 篇文献进行分析，时间跨度为 1904—2026 年。其中具有 DOI 的记录 135 条，具有摘要的记录 123 条。</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展示了假定位体征相关研究的年度发文量与累计发文量。近五年发文情况为：2022年（4篇）, 2023年（6篇）, 2024年（9篇）, 2025年（3篇）, 2026年（6篇）。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psychiatry》（9篇）, 《Neurosurgery》（7篇）, 《Surgical neurology》（5篇）。图 2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2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按第一/通讯作者机构地址提取国家/地区，发文量前 3 位为：United States（24篇）, India（13篇）, Japan（12篇）。图 3 展示了前 10 位国家/地区分布。</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3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发文量最多的作者包括：Carrasco-Moro R（3篇）, Martínez-San Millán JS（3篇）, Pascual JM（3篇）。图 4 展示了前 10 位核心作者。</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4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5 为关键词共现网络，图 6 为关键词词云。</w:t>
      </w:r>
    </w:p>
    <w:p>
      <w:pPr>
        <w:jc w:val="center"/>
      </w:pPr>
      <w:r>
        <w:drawing>
          <wp:inline xmlns:a="http://schemas.openxmlformats.org/drawingml/2006/main" xmlns:pic="http://schemas.openxmlformats.org/drawingml/2006/picture">
            <wp:extent cx="5303520" cy="4540424"/>
            <wp:docPr id="5" name="Picture 5"/>
            <wp:cNvGraphicFramePr>
              <a:graphicFrameLocks noChangeAspect="1"/>
            </wp:cNvGraphicFramePr>
            <a:graphic>
              <a:graphicData uri="http://schemas.openxmlformats.org/drawingml/2006/picture">
                <pic:pic>
                  <pic:nvPicPr>
                    <pic:cNvPr id="0" name="fig5_keyword_network.png"/>
                    <pic:cNvPicPr/>
                  </pic:nvPicPr>
                  <pic:blipFill>
                    <a:blip r:embed="rId13"/>
                    <a:stretch>
                      <a:fillRect/>
                    </a:stretch>
                  </pic:blipFill>
                  <pic:spPr>
                    <a:xfrm>
                      <a:off x="0" y="0"/>
                      <a:ext cx="5303520" cy="4540424"/>
                    </a:xfrm>
                    <a:prstGeom prst="rect"/>
                  </pic:spPr>
                </pic:pic>
              </a:graphicData>
            </a:graphic>
          </wp:inline>
        </w:drawing>
      </w:r>
    </w:p>
    <w:p>
      <w:pPr>
        <w:jc w:val="center"/>
      </w:pPr>
      <w:r>
        <w:rPr>
          <w:rFonts w:ascii="Microsoft YaHei" w:hAnsi="Microsoft YaHei" w:eastAsia="Microsoft YaHei"/>
          <w:i/>
          <w:sz w:val="20"/>
        </w:rPr>
        <w:t>Fig. 5 Keyword co-occurrence network based on MeSH terms and author keywords.</w:t>
      </w:r>
    </w:p>
    <w:p>
      <w:pPr>
        <w:jc w:val="center"/>
      </w:pPr>
      <w:r>
        <w:drawing>
          <wp:inline xmlns:a="http://schemas.openxmlformats.org/drawingml/2006/main" xmlns:pic="http://schemas.openxmlformats.org/drawingml/2006/picture">
            <wp:extent cx="5303520" cy="2794735"/>
            <wp:docPr id="6" name="Picture 6"/>
            <wp:cNvGraphicFramePr>
              <a:graphicFrameLocks noChangeAspect="1"/>
            </wp:cNvGraphicFramePr>
            <a:graphic>
              <a:graphicData uri="http://schemas.openxmlformats.org/drawingml/2006/picture">
                <pic:pic>
                  <pic:nvPicPr>
                    <pic:cNvPr id="0" name="fig6_keyword_wordcloud.png"/>
                    <pic:cNvPicPr/>
                  </pic:nvPicPr>
                  <pic:blipFill>
                    <a:blip r:embed="rId14"/>
                    <a:stretch>
                      <a:fillRect/>
                    </a:stretch>
                  </pic:blipFill>
                  <pic:spPr>
                    <a:xfrm>
                      <a:off x="0" y="0"/>
                      <a:ext cx="5303520" cy="2794735"/>
                    </a:xfrm>
                    <a:prstGeom prst="rect"/>
                  </pic:spPr>
                </pic:pic>
              </a:graphicData>
            </a:graphic>
          </wp:inline>
        </w:drawing>
      </w:r>
    </w:p>
    <w:p>
      <w:pPr>
        <w:jc w:val="center"/>
      </w:pPr>
      <w:r>
        <w:rPr>
          <w:rFonts w:ascii="Microsoft YaHei" w:hAnsi="Microsoft YaHei" w:eastAsia="Microsoft YaHei"/>
          <w:i/>
          <w:sz w:val="20"/>
        </w:rPr>
        <w:t>Fig. 6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本研究首次对假定位体征相关文献进行了系统计量分析。结果显示，该领域文献数量总体呈增长态势，尤其近十年病例报告与影像学研究增多，反映了神经影像技术对识别罕见假定位体征的促进作用。从期刊分布看，研究主要发表于神经病学、神经外科学与神经眼科学期刊，提示该主题具有鲜明的专科交叉特征。高频关键词集中于磁共振成像、颅内肿瘤、颅内压异常及颅神经麻痹等，说明假定位体征的研究热点与神经影像、颅内压管理及颅神经病变密切相关。</w:t>
        <w:br/>
        <w:br/>
        <w:t>本研究的局限性包括：当前分析以 PubMed 数据为主，WoS 数据导入后可进一步补充会议论文与引文信息；机构与国家提取基于地址文本解析，可能存在少量误判；关键词共现基于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附录：纳入文献清单（部分）</w:t>
      </w:r>
    </w:p>
    <w:p>
      <w:r>
        <w:rPr>
          <w:rFonts w:ascii="Microsoft YaHei" w:hAnsi="Microsoft YaHei" w:eastAsia="Microsoft YaHei"/>
          <w:b w:val="0"/>
        </w:rPr>
        <w:t>以下列出纳入分析的 159 条记录中的前 30 条，完整清单见 output/01_merged_records.csv。</w:t>
      </w:r>
    </w:p>
    <w:p>
      <w:r>
        <w:rPr>
          <w:rFonts w:ascii="Microsoft YaHei" w:hAnsi="Microsoft YaHei" w:eastAsia="Microsoft YaHei"/>
          <w:b w:val="0"/>
        </w:rPr>
        <w:t>1. Larner AJ. False localising signs. Journal of neurology, neurosurgery, and psychiatry. 2003 74(4):415-8. doi:10.1136/jnnp.74.4.415.</w:t>
      </w:r>
    </w:p>
    <w:p>
      <w:r>
        <w:rPr>
          <w:rFonts w:ascii="Microsoft YaHei" w:hAnsi="Microsoft YaHei" w:eastAsia="Microsoft YaHei"/>
          <w:b w:val="0"/>
        </w:rPr>
        <w:t>2. Hall WA, Munakomi S. Uncal Herniation. nan. 2026 nan(nan):nan. doi:nan.</w:t>
      </w:r>
    </w:p>
    <w:p>
      <w:r>
        <w:rPr>
          <w:rFonts w:ascii="Microsoft YaHei" w:hAnsi="Microsoft YaHei" w:eastAsia="Microsoft YaHei"/>
          <w:b w:val="0"/>
        </w:rPr>
        <w:t>3. Mehndiratta MM, Garg S, Gurnani M. Cerebral venous thrombosis--clinical presentations. JPMA. The Journal of the Pakistan Medical Association. 2006 56(11):513-6. doi:nan.</w:t>
      </w:r>
    </w:p>
    <w:p>
      <w:r>
        <w:rPr>
          <w:rFonts w:ascii="Microsoft YaHei" w:hAnsi="Microsoft YaHei" w:eastAsia="Microsoft YaHei"/>
          <w:b w:val="0"/>
        </w:rPr>
        <w:t>4. Winterkorn JM. Peripapillary hemorrhage. Survey of ophthalmology. 1993 37(5):362-72. doi:10.1016/0039-6257(93)90066-g.</w:t>
      </w:r>
    </w:p>
    <w:p>
      <w:r>
        <w:rPr>
          <w:rFonts w:ascii="Microsoft YaHei" w:hAnsi="Microsoft YaHei" w:eastAsia="Microsoft YaHei"/>
          <w:b w:val="0"/>
        </w:rPr>
        <w:t>5. Bhoil R, Ahluwalia AK, Surya M, Bhoil S. Kernohan-Woltman phenomenon: A false localizing sign. The National medical journal of India. 2021 34(1):56. doi:10.4103/0970-258x.323452.</w:t>
      </w:r>
    </w:p>
    <w:p>
      <w:r>
        <w:rPr>
          <w:rFonts w:ascii="Microsoft YaHei" w:hAnsi="Microsoft YaHei" w:eastAsia="Microsoft YaHei"/>
          <w:b w:val="0"/>
        </w:rPr>
        <w:t>6. Lepore FE. False and non-localizing signs in neuro-ophthalmology. Current opinion in ophthalmology. 2002 13(6):371-4. doi:10.1097/00055735-200212000-00005.</w:t>
      </w:r>
    </w:p>
    <w:p>
      <w:r>
        <w:rPr>
          <w:rFonts w:ascii="Microsoft YaHei" w:hAnsi="Microsoft YaHei" w:eastAsia="Microsoft YaHei"/>
          <w:b w:val="0"/>
        </w:rPr>
        <w:t>7. Li B, Sursal T, Bowers C, Cole C, Gandhi C, Schmidt M, Mayer S, Al-Mufti F. Chameleons, red herrings, and false localizing signs in neurocritical care. British journal of neurosurgery. 2022 36(3):298-306. doi:10.1080/02688697.2020.1820945.</w:t>
      </w:r>
    </w:p>
    <w:p>
      <w:r>
        <w:rPr>
          <w:rFonts w:ascii="Microsoft YaHei" w:hAnsi="Microsoft YaHei" w:eastAsia="Microsoft YaHei"/>
          <w:b w:val="0"/>
        </w:rPr>
        <w:t>8. Castle-Kirszbaum M, Goldschlager T. Pyramidal weakness: Is it time to retire the term?. Clinical anatomy (New York, N.Y.). 2021 34(3):478-482. doi:10.1002/ca.23715.</w:t>
      </w:r>
    </w:p>
    <w:p>
      <w:r>
        <w:rPr>
          <w:rFonts w:ascii="Microsoft YaHei" w:hAnsi="Microsoft YaHei" w:eastAsia="Microsoft YaHei"/>
          <w:b w:val="0"/>
        </w:rPr>
        <w:t>9. Zhang CH, DeSouza RM, Kho JS, Vundavalli S, Critchley G. Kernohan-Woltman notch phenomenon: a review article. British journal of neurosurgery. 2017 31(2):159-166. doi:10.1080/02688697.2016.1211250.</w:t>
      </w:r>
    </w:p>
    <w:p>
      <w:r>
        <w:rPr>
          <w:rFonts w:ascii="Microsoft YaHei" w:hAnsi="Microsoft YaHei" w:eastAsia="Microsoft YaHei"/>
          <w:b w:val="0"/>
        </w:rPr>
        <w:t>10. Buijink AWG, de Vries S, Schuurman PR, van Iperen A, Dijk JM. Parkinsonism after uncal herniation-an overlooked false localizing sign?. Movement disorders clinical practice. 2024 11 Suppl 2(Suppl 2):S30-S32. doi:10.1002/mdc3.13964.</w:t>
      </w:r>
    </w:p>
    <w:p>
      <w:r>
        <w:rPr>
          <w:rFonts w:ascii="Microsoft YaHei" w:hAnsi="Microsoft YaHei" w:eastAsia="Microsoft YaHei"/>
          <w:b w:val="0"/>
        </w:rPr>
        <w:t>11. Chiu SJ, Hickman SJ, Pepper IM, Tan JHY, Yianni J, Jefferis JM. Neuro-Ophthalmic Complications of Vestibular Schwannoma Resection: Current Perspectives. Eye and brain. 2021 13(nan):241-253. doi:10.2147/eb.s272326.</w:t>
      </w:r>
    </w:p>
    <w:p>
      <w:r>
        <w:rPr>
          <w:rFonts w:ascii="Microsoft YaHei" w:hAnsi="Microsoft YaHei" w:eastAsia="Microsoft YaHei"/>
          <w:b w:val="0"/>
        </w:rPr>
        <w:t>12. Carrasco Moro R, Pascual Garvi JM, Vior Fernández C, Espinosa Rodríguez EE, Martín Palomeque G, Cabañes Martínez L, López Gutiérrez M, Acitores Cancela A, Barrero Ruiz E, Martínez San Millán JS. Kernohan-Woltman notch phenomenon: an exceptional neurological picture?. Neurologia. 2024 39(8):683-693. doi:10.1016/j.nrleng.2022.09.010.</w:t>
      </w:r>
    </w:p>
    <w:p>
      <w:r>
        <w:rPr>
          <w:rFonts w:ascii="Microsoft YaHei" w:hAnsi="Microsoft YaHei" w:eastAsia="Microsoft YaHei"/>
          <w:b w:val="0"/>
        </w:rPr>
        <w:t>13. Madhavan AA, Kranz PG, Kodet ML, Weant EH, Malinzak MD, Willhite J, Gray L, Amrhein TJ. Evaluation of the C1-C2 False Localizing Sign in Spontaneous Intracranial Hypotension: Prevalence and Clinical Insights. AJNR. American journal of neuroradiology. 2026 nan(nan):nan. doi:10.3174/ajnr.a9309.</w:t>
      </w:r>
    </w:p>
    <w:p>
      <w:r>
        <w:rPr>
          <w:rFonts w:ascii="Microsoft YaHei" w:hAnsi="Microsoft YaHei" w:eastAsia="Microsoft YaHei"/>
          <w:b w:val="0"/>
        </w:rPr>
        <w:t>14. Carrasco-Moro R, Martínez-San Millán JS, Pérez-Pérez M, Pascual JM. Syndrome of the third frontal convolution: Léon Ectors´ legacy on paradoxical ipsilateral hemiparesis. Acta neurologica Belgica. 2024 124(1):37-48. doi:10.1007/s13760-023-02394-9 [pii].</w:t>
      </w:r>
    </w:p>
    <w:p>
      <w:r>
        <w:rPr>
          <w:rFonts w:ascii="Microsoft YaHei" w:hAnsi="Microsoft YaHei" w:eastAsia="Microsoft YaHei"/>
          <w:b w:val="0"/>
        </w:rPr>
        <w:t>15. Roy D, Chakravarty A. The Kinetics of Transtentorial Brain Herniation: Kernohan-Woltman Notch Phenomenon Revisited. Current neurology and neuroscience reports. 2023 23(10):571-580. doi:10.1007/s11910-023-01295-x [pii].</w:t>
      </w:r>
    </w:p>
    <w:p>
      <w:r>
        <w:rPr>
          <w:rFonts w:ascii="Microsoft YaHei" w:hAnsi="Microsoft YaHei" w:eastAsia="Microsoft YaHei"/>
          <w:b w:val="0"/>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Microsoft YaHei" w:hAnsi="Microsoft YaHei" w:eastAsia="Microsoft YaHei"/>
          <w:b w:val="0"/>
        </w:rPr>
        <w:t>17. Pellegrini F, Interlandi E, Cuna A, Monaco D, Lee AG. Spontaneous chronic subdural hematoma as the cause of oculomotor cranial nerve palsy: A narrative review. Brain circulation. 2022 8(4):188-191. doi:10.4103/bc.bc_42_22.</w:t>
      </w:r>
    </w:p>
    <w:p>
      <w:r>
        <w:rPr>
          <w:rFonts w:ascii="Microsoft YaHei" w:hAnsi="Microsoft YaHei" w:eastAsia="Microsoft YaHei"/>
          <w:b w:val="0"/>
        </w:rPr>
        <w:t>18. Neetens A, Rubbens MC. Parinaud's syndrome, false localising sign of pseudo-Dandy-Walker syndrome. Bulletin de la Societe belge d'ophtalmologie. 1978 182(nan):131-8. doi:nan.</w:t>
      </w:r>
    </w:p>
    <w:p>
      <w:r>
        <w:rPr>
          <w:rFonts w:ascii="Microsoft YaHei" w:hAnsi="Microsoft YaHei" w:eastAsia="Microsoft YaHei"/>
          <w:b w:val="0"/>
        </w:rPr>
        <w:t>19. Davis M, Lucatorto M. The false localizing signs of increased intracranial pressure. The Journal of neuroscience nursing : journal of the American Association of Neuroscience Nurses. 1992 24(5):245-50. doi:10.1097/01376517-199210000-00003.</w:t>
      </w:r>
    </w:p>
    <w:p>
      <w:r>
        <w:rPr>
          <w:rFonts w:ascii="Microsoft YaHei" w:hAnsi="Microsoft YaHei" w:eastAsia="Microsoft YaHei"/>
          <w:b w:val="0"/>
        </w:rPr>
        <w:t>20. Schievink WI, Maya MM, Chu RM, Moser FG. False localizing sign of cervico-thoracic CSF leak in spontaneous intracranial hypotension. Neurology. 2015 84(24):2445-8. doi:10.1212/wnl.0000000000001697.</w:t>
      </w:r>
    </w:p>
    <w:p>
      <w:r>
        <w:rPr>
          <w:rFonts w:ascii="Microsoft YaHei" w:hAnsi="Microsoft YaHei" w:eastAsia="Microsoft YaHei"/>
          <w:b w:val="0"/>
        </w:rPr>
        <w:t>21. Mitchell DL, Pearce J, King P, Sani S. Rubrospinal activation during asleep subthalamic nucleus deep brain stimulation: a false localizing sign. Illustrative case. Journal of neurosurgery. Case lessons. 2023 6(2):nan. doi:10.3171/case23100.</w:t>
      </w:r>
    </w:p>
    <w:p>
      <w:r>
        <w:rPr>
          <w:rFonts w:ascii="Microsoft YaHei" w:hAnsi="Microsoft YaHei" w:eastAsia="Microsoft YaHei"/>
          <w:b w:val="0"/>
        </w:rPr>
        <w:t>22. Hess DC, Sethi KD, Nichols FT. Carotid dissection: a new false localising sign. Journal of neurology, neurosurgery, and psychiatry. 1990 53(9):804-5. doi:10.1136/jnnp.53.9.804.</w:t>
      </w:r>
    </w:p>
    <w:p>
      <w:r>
        <w:rPr>
          <w:rFonts w:ascii="Microsoft YaHei" w:hAnsi="Microsoft YaHei" w:eastAsia="Microsoft YaHei"/>
          <w:b w:val="0"/>
        </w:rPr>
        <w:t>23. Murahashi Y, Takebayashi T, Terashima Y, Tsuda H, Yoshimoto M, Yamashita T. Clinical Presentation of Cervical Myelopathy at C1-2 Level. Asian spine journal. 2016 10(4):755-61. doi:10.4184/asj.2016.10.4.755.</w:t>
      </w:r>
    </w:p>
    <w:p>
      <w:r>
        <w:rPr>
          <w:rFonts w:ascii="Microsoft YaHei" w:hAnsi="Microsoft YaHei" w:eastAsia="Microsoft YaHei"/>
          <w:b w:val="0"/>
        </w:rPr>
        <w:t>24. Elavarasi A, Dash D, Singh PK, Tripathi M. High-Pressure Normocephalus-Raised Intracranial Pressure with False Localizing Signs. Annals of Indian Academy of Neurology. 2020 23(4):536-538. doi:10.4103/aian.aian_431_18.</w:t>
      </w:r>
    </w:p>
    <w:p>
      <w:r>
        <w:rPr>
          <w:rFonts w:ascii="Microsoft YaHei" w:hAnsi="Microsoft YaHei" w:eastAsia="Microsoft YaHei"/>
          <w:b w:val="0"/>
        </w:rPr>
        <w:t>25. Basiron SF', Tan EL, Ch'ng TW, Othman O. Idiopathic Intracranial Hypertension in a Malaysian Preschooler. Cureus. 2021 13(11):e19207. doi:10.7759/cureus.19207.</w:t>
      </w:r>
    </w:p>
    <w:p>
      <w:r>
        <w:rPr>
          <w:rFonts w:ascii="Microsoft YaHei" w:hAnsi="Microsoft YaHei" w:eastAsia="Microsoft YaHei"/>
          <w:b w:val="0"/>
        </w:rPr>
        <w:t>26. Hellmann MA, Djaldetti R, Luckman J, Dabby R. Thoracic sensory level as a false localizing sign in cervical spinal cord and brain lesions. Clinical neurology and neurosurgery. 2013 115(1):54-6. doi:10.1016/j.clineuro.2012.04.011.</w:t>
      </w:r>
    </w:p>
    <w:p>
      <w:r>
        <w:rPr>
          <w:rFonts w:ascii="Microsoft YaHei" w:hAnsi="Microsoft YaHei" w:eastAsia="Microsoft YaHei"/>
          <w:b w:val="0"/>
        </w:rPr>
        <w:t>27. De Santos M, Leach M. False Localizing Signs in High Lumbar Stenosis: L2/3 Compression Mimicking L5 Radiculopathy. Cureus. 2026 18(2):e103098. doi:10.7759/cureus.103098.</w:t>
      </w:r>
    </w:p>
    <w:p>
      <w:r>
        <w:rPr>
          <w:rFonts w:ascii="Microsoft YaHei" w:hAnsi="Microsoft YaHei" w:eastAsia="Microsoft YaHei"/>
          <w:b w:val="0"/>
        </w:rPr>
        <w:t>28. Feria AL, Akinduro OO, Rahmathulla G, Tavanaiepour D. False Localizing Trigeminal V2 Sensory Loss in Vestibular Schwannoma. Cureus. 2020 12(7):e9256. doi:10.7759/cureus.9256.</w:t>
      </w:r>
    </w:p>
    <w:p>
      <w:r>
        <w:rPr>
          <w:rFonts w:ascii="Microsoft YaHei" w:hAnsi="Microsoft YaHei" w:eastAsia="Microsoft YaHei"/>
          <w:b w:val="0"/>
        </w:rPr>
        <w:t>29. Aiba Y, Sakakibara R, Tateno F. Chest Pain and Hypertension from the Spinal Cord. Internal medicine (Tokyo, Japan). 2021 60(5):817. doi:10.2169/internalmedicine.5692-20.</w:t>
      </w:r>
    </w:p>
    <w:p>
      <w:r>
        <w:rPr>
          <w:rFonts w:ascii="Microsoft YaHei" w:hAnsi="Microsoft YaHei" w:eastAsia="Microsoft YaHei"/>
          <w:b w:val="0"/>
        </w:rPr>
        <w:t>30. Dammers R, Volovici V, Kompanje EJ. The History of the Kernohan Notch Revisited. Neurosurgery. 2016 78(4):581-4. doi:10.1227/neu.0000000000001097.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