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Using the 159 records included in this study, the keyword co-occurrence network was reconstructed from MeSH terms and other keywords appearing in the same record. For readability, the visualization retains the 26 most frequent substantive terms and 74 co-occurrence links with link weight &gt;= 2; node size is proportional to keyword frequency. The resulting communities highlight imaging and differential diagnosis, intracranial pressure and CSF-related conditions, brain or meningeal lesions, spinal or cervical localization, and cranial nerve or motor signs. Panel A shows the frequency-scaled co-occurrence network, whereas Panel B colors the same data by greedy-modularity communities. These are descriptive network communities, not citation-based clusters.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4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(A) and data-driven community visualization (B) based on the 159 records included in this study. The graph displays 26 substantive keywords and 74 retained links (co-occurrence weight &gt;= 2); node size represents frequency and colors in panel B represent greedy-modularity communities.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