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Lexend-bold.ttf" ContentType="application/x-font-ttf"/>
  <Override PartName="/word/fonts/Lexend-regular.ttf" ContentType="application/x-font-ttf"/>
  <Override PartName="/word/fonts/LexendLight-bold.ttf" ContentType="application/x-font-ttf"/>
  <Override PartName="/word/fonts/LexendLight-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Id3"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rFonts w:ascii="Lexend" w:cs="Lexend" w:eastAsia="Lexend" w:hAnsi="Lexend"/>
          <w:b w:val="1"/>
          <w:bCs w:val="1"/>
          <w:color w:val="ed1775"/>
          <w:sz w:val="40"/>
          <w:szCs w:val="40"/>
        </w:rPr>
      </w:pPr>
      <w:r w:rsidDel="00000000" w:rsidR="00000000" w:rsidRPr="00000000">
        <w:rPr>
          <w:rFonts w:ascii="Lexend" w:cs="Lexend" w:eastAsia="Lexend" w:hAnsi="Lexend"/>
          <w:b w:val="1"/>
          <w:bCs w:val="1"/>
          <w:color w:val="e10a78"/>
          <w:sz w:val="40"/>
          <w:szCs w:val="40"/>
          <w:rtl w:val="0"/>
        </w:rPr>
        <w:t xml:space="preserve">Mi Portafolio Digital</w:t>
      </w:r>
      <w:r w:rsidDel="00000000" w:rsidR="00000000" w:rsidRPr="00000000">
        <w:rPr>
          <w:rtl w:val="0"/>
        </w:rPr>
      </w:r>
    </w:p>
    <w:p w:rsidR="00000000" w:rsidDel="00000000" w:rsidP="00000000" w:rsidRDefault="00000000" w:rsidRPr="00000000" w14:paraId="00000002">
      <w:pPr>
        <w:spacing w:after="6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Arquitectura de información, contenido y navegación - en lenguaje natural</w:t>
      </w:r>
      <w:r w:rsidDel="00000000" w:rsidR="00000000" w:rsidRPr="00000000">
        <w:rPr>
          <w:rtl w:val="0"/>
        </w:rPr>
      </w:r>
    </w:p>
    <w:p w:rsidR="00000000" w:rsidDel="00000000" w:rsidP="00000000" w:rsidRDefault="00000000" w:rsidRPr="00000000" w14:paraId="00000003">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1 · Estructura general y navegación</w:t>
      </w:r>
      <w:r w:rsidDel="00000000" w:rsidR="00000000" w:rsidRPr="00000000">
        <w:rPr>
          <w:rtl w:val="0"/>
        </w:rPr>
      </w:r>
    </w:p>
    <w:p w:rsidR="00000000" w:rsidDel="00000000" w:rsidP="00000000" w:rsidRDefault="00000000" w:rsidRPr="00000000" w14:paraId="00000004">
      <w:pPr>
        <w:spacing w:after="140" w:lineRule="auto"/>
        <w:rPr>
          <w:rFonts w:ascii="Lexend Light" w:cs="Lexend Light" w:eastAsia="Lexend Light" w:hAnsi="Lexend Light"/>
          <w:sz w:val="22"/>
          <w:szCs w:val="22"/>
        </w:rPr>
      </w:pPr>
      <w:r>
        <w:t>Mi portafolio final sigue de cerca la arquitectura definida en CV.md. Funciona como una única landing page vertical con scroll continuo: todo el contenido vive dentro del mismo documento HTML y no existen páginas internas ni cambios de ruta. La navegación permanece fija e incluye el isotipo, el nombre “Luu García” y anclas directas a Home, About, Brand, Motion, Illustration y Contact. En móvil, los mismos accesos aparecen dentro de un menú de pantalla completa.</w:t>
      </w:r>
    </w:p>
    <w:p w:rsidR="00000000" w:rsidDel="00000000" w:rsidP="00000000" w:rsidRDefault="00000000" w:rsidRPr="00000000" w14:paraId="00000005">
      <w:pPr>
        <w:spacing w:after="140" w:lineRule="auto"/>
        <w:rPr>
          <w:rFonts w:ascii="Lexend Light" w:cs="Lexend Light" w:eastAsia="Lexend Light" w:hAnsi="Lexend Light"/>
          <w:sz w:val="22"/>
          <w:szCs w:val="22"/>
        </w:rPr>
      </w:pPr>
      <w:r>
        <w:t>La estructura principal coincide con CV.md y conserva este orden: Home → About → Brand → Motion → Illustration → Contact. Entre estas secciones se integran algunos bloques complementarios —preview de proyectos, Software, “Lo que hago” y una marquesina tipográfica— sin modificar la secuencia ni crear categorías nuevas.</w:t>
      </w:r>
    </w:p>
    <w:p w:rsidR="00000000" w:rsidDel="00000000" w:rsidP="00000000" w:rsidRDefault="00000000" w:rsidRPr="00000000" w14:paraId="00000006">
      <w:pPr>
        <w:spacing w:after="140" w:lineRule="auto"/>
        <w:rPr>
          <w:rFonts w:ascii="Lexend Light" w:cs="Lexend Light" w:eastAsia="Lexend Light" w:hAnsi="Lexend Light"/>
          <w:sz w:val="22"/>
          <w:szCs w:val="22"/>
        </w:rPr>
      </w:pPr>
      <w:r>
        <w:t>La navegación funciona mediante anclas internas y scroll suave. Los enlaces “Escríbeme”, “Ver todo” y las vistas previas desplazan la página hacia el contenido correspondiente sin recargarla. El resultado es responsivo, accesible mediante teclado e incorpora estados hover, animaciones de aparición y un bloque rosa que se revela detrás de algunos títulos.</w:t>
      </w:r>
    </w:p>
    <w:p w:rsidR="00000000" w:rsidDel="00000000" w:rsidP="00000000" w:rsidRDefault="00000000" w:rsidRPr="00000000" w14:paraId="00000007">
      <w:pPr/>
      <w:r>
        <w:t>Adiciones del portafolio respecto a CV.md</w:t>
      </w:r>
    </w:p>
    <w:p w:rsidR="00000000" w:rsidDel="00000000" w:rsidP="00000000" w:rsidRDefault="00000000" w:rsidRPr="00000000" w14:paraId="00000007">
      <w:pPr/>
      <w:r>
        <w:t>• Preview de tres proyectos después del hero.</w:t>
      </w:r>
    </w:p>
    <w:p w:rsidR="00000000" w:rsidDel="00000000" w:rsidP="00000000" w:rsidRDefault="00000000" w:rsidRPr="00000000" w14:paraId="00000007">
      <w:pPr/>
      <w:r>
        <w:t>• Sección Software con una imagen de los programas que manejo.</w:t>
      </w:r>
    </w:p>
    <w:p w:rsidR="00000000" w:rsidDel="00000000" w:rsidP="00000000" w:rsidRDefault="00000000" w:rsidRPr="00000000" w14:paraId="00000007">
      <w:pPr/>
      <w:r>
        <w:t>• Menú editorial “Lo que hago” con la invitación “Explorar”.</w:t>
      </w:r>
    </w:p>
    <w:p w:rsidR="00000000" w:rsidDel="00000000" w:rsidP="00000000" w:rsidRDefault="00000000" w:rsidRPr="00000000" w14:paraId="00000007">
      <w:pPr/>
      <w:r>
        <w:t>• Marquesina animada con “MAKE IT BOLD”, “MAKE IT MOVE” y “MAKE IT YOURS”.</w:t>
      </w:r>
    </w:p>
    <w:p w:rsidR="00000000" w:rsidDel="00000000" w:rsidP="00000000" w:rsidRDefault="00000000" w:rsidRPr="00000000" w14:paraId="00000007">
      <w:pPr/>
      <w:r>
        <w:t>• Efecto de bloque rosa animado detrás de algunos títulos.</w:t>
      </w:r>
    </w:p>
    <w:p w:rsidR="00000000" w:rsidDel="00000000" w:rsidP="00000000" w:rsidRDefault="00000000" w:rsidRPr="00000000" w14:paraId="00000007">
      <w:pPr/>
      <w:r>
        <w:t>• Behance añadido a los enlaces de contacto.</w:t>
      </w:r>
    </w:p>
    <w:p w:rsidR="00000000" w:rsidDel="00000000" w:rsidP="00000000" w:rsidRDefault="00000000" w:rsidRPr="00000000" w14:paraId="00000007">
      <w:pPr/>
      <w:r>
        <w:t>• Footer con isotipo, navegación y “© 2026 Luu García”.</w:t>
      </w:r>
    </w:p>
    <w:p w:rsidR="00000000" w:rsidDel="00000000" w:rsidP="00000000" w:rsidRDefault="00000000" w:rsidRPr="00000000" w14:paraId="00000007">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2 · Home</w:t>
      </w:r>
      <w:r w:rsidDel="00000000" w:rsidR="00000000" w:rsidRPr="00000000">
        <w:rPr>
          <w:rtl w:val="0"/>
        </w:rPr>
      </w:r>
    </w:p>
    <w:p w:rsidR="00000000" w:rsidDel="00000000" w:rsidP="00000000" w:rsidRDefault="00000000" w:rsidRPr="00000000" w14:paraId="00000008">
      <w:pPr>
        <w:spacing w:after="140" w:lineRule="auto"/>
        <w:rPr>
          <w:rFonts w:ascii="Lexend Light" w:cs="Lexend Light" w:eastAsia="Lexend Light" w:hAnsi="Lexend Light"/>
          <w:sz w:val="22"/>
          <w:szCs w:val="22"/>
        </w:rPr>
      </w:pPr>
      <w:r>
        <w:t>La primera pantalla presenta mi identidad mediante una fotografía a pantalla completa con una capa oscura, el nombre “Luu García” en gran escala y tres etiquetas: Brand, Motion e Illustration. El hero prioriza una entrada visual directa y permite entender de inmediato las áreas que reúne el portafolio.</w:t>
      </w:r>
    </w:p>
    <w:p w:rsidR="00000000" w:rsidDel="00000000" w:rsidP="00000000" w:rsidRDefault="00000000" w:rsidRPr="00000000" w14:paraId="00000009">
      <w:pPr>
        <w:spacing w:after="140" w:lineRule="auto"/>
        <w:rPr>
          <w:rFonts w:ascii="Lexend Light" w:cs="Lexend Light" w:eastAsia="Lexend Light" w:hAnsi="Lexend Light"/>
          <w:sz w:val="22"/>
          <w:szCs w:val="22"/>
        </w:rPr>
      </w:pPr>
      <w:r>
        <w:t>El hero combina fotografía y tipografía. No incluye botones de llamada a la acción: el acceso al resto del contenido se realiza mediante el scroll, la navegación fija y la vista rápida que aparece inmediatamente después.</w:t>
      </w:r>
    </w:p>
    <w:p w:rsidR="00000000" w:rsidDel="00000000" w:rsidP="00000000" w:rsidRDefault="00000000" w:rsidRPr="00000000" w14:paraId="0000000A">
      <w:pPr>
        <w:spacing w:after="140" w:lineRule="auto"/>
        <w:rPr>
          <w:rFonts w:ascii="Lexend Light" w:cs="Lexend Light" w:eastAsia="Lexend Light" w:hAnsi="Lexend Light"/>
          <w:sz w:val="22"/>
          <w:szCs w:val="22"/>
        </w:rPr>
      </w:pPr>
      <w:r>
        <w:t>Contenido mostrado en Home</w:t>
      </w:r>
    </w:p>
    <w:p w:rsidR="00000000" w:rsidDel="00000000" w:rsidP="00000000" w:rsidRDefault="00000000" w:rsidRPr="00000000" w14:paraId="0000000B">
      <w:pPr>
        <w:spacing w:after="140" w:lineRule="auto"/>
        <w:rPr>
          <w:rFonts w:ascii="Lexend Light" w:cs="Lexend Light" w:eastAsia="Lexend Light" w:hAnsi="Lexend Light"/>
          <w:sz w:val="22"/>
          <w:szCs w:val="22"/>
        </w:rPr>
      </w:pPr>
      <w:r>
        <w:t>• Título principal: Luu García.</w:t>
      </w:r>
    </w:p>
    <w:p w:rsidR="00000000" w:rsidDel="00000000" w:rsidP="00000000" w:rsidRDefault="00000000" w:rsidRPr="00000000" w14:paraId="0000000C">
      <w:pPr>
        <w:spacing w:after="140" w:lineRule="auto"/>
        <w:rPr>
          <w:rFonts w:ascii="Lexend Light" w:cs="Lexend Light" w:eastAsia="Lexend Light" w:hAnsi="Lexend Light"/>
          <w:sz w:val="22"/>
          <w:szCs w:val="22"/>
        </w:rPr>
      </w:pPr>
      <w:r>
        <w:t>• Etiquetas de especialidad: Brand, Motion e Illustration.</w:t>
      </w:r>
    </w:p>
    <w:p w:rsidR="00000000" w:rsidDel="00000000" w:rsidP="00000000" w:rsidRDefault="00000000" w:rsidRPr="00000000" w14:paraId="0000000D">
      <w:pPr>
        <w:spacing w:after="140" w:lineRule="auto"/>
        <w:rPr>
          <w:rFonts w:ascii="Lexend Light" w:cs="Lexend Light" w:eastAsia="Lexend Light" w:hAnsi="Lexend Light"/>
          <w:sz w:val="22"/>
          <w:szCs w:val="22"/>
        </w:rPr>
      </w:pPr>
      <w:r>
        <w:t>• Fondo: fotografía personal a pantalla completa.</w:t>
      </w:r>
    </w:p>
    <w:p w:rsidR="00000000" w:rsidDel="00000000" w:rsidP="00000000" w:rsidRDefault="00000000" w:rsidRPr="00000000" w14:paraId="0000000E">
      <w:pPr>
        <w:spacing w:after="80" w:before="200" w:lineRule="auto"/>
        <w:rPr>
          <w:rFonts w:ascii="Lexend Light" w:cs="Lexend Light" w:eastAsia="Lexend Light" w:hAnsi="Lexend Light"/>
          <w:color w:val="ed1775"/>
          <w:sz w:val="22"/>
          <w:szCs w:val="22"/>
        </w:rPr>
      </w:pPr>
      <w:r w:rsidDel="00000000" w:rsidR="00000000" w:rsidRPr="00000000">
        <w:rPr>
          <w:rFonts w:ascii="Lexend Light" w:cs="Lexend Light" w:eastAsia="Lexend Light" w:hAnsi="Lexend Light"/>
          <w:color w:val="ed1775"/>
          <w:sz w:val="22"/>
          <w:szCs w:val="22"/>
          <w:rtl w:val="0"/>
        </w:rPr>
        <w:t xml:space="preserve">Vista rápida de proyectos</w:t>
      </w:r>
    </w:p>
    <w:p w:rsidR="00000000" w:rsidDel="00000000" w:rsidP="00000000" w:rsidRDefault="00000000" w:rsidRPr="00000000" w14:paraId="0000000F">
      <w:pPr>
        <w:spacing w:after="140" w:lineRule="auto"/>
        <w:rPr>
          <w:rFonts w:ascii="Lexend Light" w:cs="Lexend Light" w:eastAsia="Lexend Light" w:hAnsi="Lexend Light"/>
          <w:sz w:val="22"/>
          <w:szCs w:val="22"/>
        </w:rPr>
      </w:pPr>
      <w:r>
        <w:t>Después del hero aparece la sección “View the work”, formada por tres tarjetas verticales: EVA, Cinema Queer México e Illustration. Cada tarjeta muestra imagen, nombre, categoría y año, y funciona como acceso rápido mediante anclas internas.</w:t>
      </w:r>
    </w:p>
    <w:p w:rsidR="00000000" w:rsidDel="00000000" w:rsidP="00000000" w:rsidRDefault="00000000" w:rsidRPr="00000000" w14:paraId="00000010">
      <w:pPr>
        <w:spacing w:after="70" w:lineRule="auto"/>
        <w:ind w:left="280" w:hanging="160"/>
        <w:rPr>
          <w:rFonts w:ascii="Lexend Light" w:cs="Lexend Light" w:eastAsia="Lexend Light" w:hAnsi="Lexend Light"/>
          <w:sz w:val="22"/>
          <w:szCs w:val="22"/>
        </w:rPr>
      </w:pPr>
      <w:r>
        <w:t>• Las tres vistas previas se organizan en una retícula de tres columnas y pasan a una columna en móvil.</w:t>
      </w:r>
    </w:p>
    <w:p w:rsidR="00000000" w:rsidDel="00000000" w:rsidP="00000000" w:rsidRDefault="00000000" w:rsidRPr="00000000" w14:paraId="00000011">
      <w:pPr>
        <w:spacing w:after="70" w:lineRule="auto"/>
        <w:ind w:left="280" w:hanging="160"/>
        <w:rPr>
          <w:rFonts w:ascii="Lexend Light" w:cs="Lexend Light" w:eastAsia="Lexend Light" w:hAnsi="Lexend Light"/>
          <w:sz w:val="22"/>
          <w:szCs w:val="22"/>
        </w:rPr>
      </w:pPr>
      <w:r>
        <w:t>• Las vistas previas utilizan imágenes estáticas con ampliación y desplazamiento sutil al pasar el cursor.</w:t>
      </w:r>
    </w:p>
    <w:p w:rsidR="00000000" w:rsidDel="00000000" w:rsidP="00000000" w:rsidRDefault="00000000" w:rsidRPr="00000000" w14:paraId="00000012">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Home no crea una categoría adicional de proyectos. Esta franja funciona únicamente como preview y dirige, mediante anclas internas, a las áreas o proyectos correspondientes dentro de la misma página. El dinamismo se construye con imágenes, video, tipografía y cambios de escala, nunca superponiendo grandes contenedores.</w:t>
      </w:r>
      <w:r w:rsidDel="00000000" w:rsidR="00000000" w:rsidRPr="00000000">
        <w:rPr>
          <w:rtl w:val="0"/>
        </w:rPr>
      </w:r>
    </w:p>
    <w:p w:rsidR="00000000" w:rsidDel="00000000" w:rsidP="00000000" w:rsidRDefault="00000000" w:rsidRPr="00000000" w14:paraId="00000013">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3 · About</w:t>
      </w:r>
      <w:r w:rsidDel="00000000" w:rsidR="00000000" w:rsidRPr="00000000">
        <w:rPr>
          <w:rtl w:val="0"/>
        </w:rPr>
      </w:r>
    </w:p>
    <w:p w:rsidR="00000000" w:rsidDel="00000000" w:rsidP="00000000" w:rsidRDefault="00000000" w:rsidRPr="00000000" w14:paraId="00000014">
      <w:pPr>
        <w:spacing w:after="140" w:lineRule="auto"/>
        <w:rPr>
          <w:rFonts w:ascii="Lexend Light" w:cs="Lexend Light" w:eastAsia="Lexend Light" w:hAnsi="Lexend Light"/>
          <w:color w:val="202225"/>
          <w:sz w:val="22"/>
          <w:szCs w:val="22"/>
        </w:rPr>
      </w:pPr>
      <w:r>
        <w:t>Esta sección amplía la presentación de Home mediante una cabecera con las etiquetas Branding, Campañas, Motion e Ilustración. Debajo aparece una composición de dos columnas: una fotografía personal y una tarjeta azul con mi nombre, una biografía breve y el CTA “Escríbeme”, que conduce a Contact.</w:t>
      </w:r>
    </w:p>
    <w:p w:rsidR="00000000" w:rsidDel="00000000" w:rsidP="00000000" w:rsidRDefault="00000000" w:rsidRPr="00000000" w14:paraId="00000015">
      <w:pPr>
        <w:spacing w:after="240" w:before="240" w:lineRule="auto"/>
        <w:rPr>
          <w:rFonts w:ascii="Lexend Light" w:cs="Lexend Light" w:eastAsia="Lexend Light" w:hAnsi="Lexend Light"/>
          <w:sz w:val="22"/>
          <w:szCs w:val="22"/>
        </w:rPr>
      </w:pPr>
      <w:r>
        <w:t>“Soy María Guadalupe García, diseñadora gráfica enfocada en crear propuestas visuales con personalidad. Trabajo entre el branding, las campañas, el motion graphics y la ilustración, explorando distintos estilos y formatos según las necesidades de cada proyecto.</w:t>
      </w:r>
    </w:p>
    <w:p w:rsidR="00000000" w:rsidDel="00000000" w:rsidP="00000000" w:rsidRDefault="00000000" w:rsidRPr="00000000" w14:paraId="00000016">
      <w:pPr>
        <w:spacing w:after="240" w:before="240" w:lineRule="auto"/>
        <w:rPr>
          <w:rFonts w:ascii="Lexend Light" w:cs="Lexend Light" w:eastAsia="Lexend Light" w:hAnsi="Lexend Light"/>
          <w:sz w:val="22"/>
          <w:szCs w:val="22"/>
        </w:rPr>
      </w:pPr>
      <w:r>
        <w:t>Actualmente estudio Diseño Gráfico Digital en La Universidad La Salle y me interesa especialmente seguir desarrollándome en Motion Graphics, combinando concepto, experimentación y ejecución visual.</w:t>
      </w:r>
    </w:p>
    <w:p w:rsidR="00000000" w:rsidDel="00000000" w:rsidP="00000000" w:rsidRDefault="00000000" w:rsidRPr="00000000" w14:paraId="00000017">
      <w:pPr>
        <w:spacing w:after="240" w:before="240" w:lineRule="auto"/>
        <w:rPr>
          <w:rFonts w:ascii="Lexend Light" w:cs="Lexend Light" w:eastAsia="Lexend Light" w:hAnsi="Lexend Light"/>
          <w:sz w:val="22"/>
          <w:szCs w:val="22"/>
        </w:rPr>
      </w:pPr>
      <w:r>
        <w:t>Fuera del diseño, disfruto dibujar, escuchar música y leer.”</w:t>
      </w:r>
    </w:p>
    <w:p w:rsidR="00000000" w:rsidDel="00000000" w:rsidP="00000000" w:rsidRDefault="00000000" w:rsidRPr="00000000" w14:paraId="0000001A">
      <w:pPr>
        <w:spacing w:after="240" w:before="240" w:lineRule="auto"/>
        <w:rPr>
          <w:rFonts w:ascii="Lexend Light" w:cs="Lexend Light" w:eastAsia="Lexend Light" w:hAnsi="Lexend Light"/>
          <w:sz w:val="22"/>
          <w:szCs w:val="22"/>
        </w:rPr>
      </w:pPr>
      <w:r>
        <w:t>Software</w:t>
      </w:r>
    </w:p>
    <w:p w:rsidR="00000000" w:rsidDel="00000000" w:rsidP="00000000" w:rsidRDefault="00000000" w:rsidRPr="00000000" w14:paraId="0000001B">
      <w:pPr>
        <w:spacing w:after="240" w:before="240" w:lineRule="auto"/>
        <w:rPr>
          <w:rFonts w:ascii="Lexend Light" w:cs="Lexend Light" w:eastAsia="Lexend Light" w:hAnsi="Lexend Light"/>
          <w:sz w:val="22"/>
          <w:szCs w:val="22"/>
        </w:rPr>
      </w:pPr>
      <w:r>
        <w:t>Después de About aparece una sección independiente titulada “Software”. Presenta en una sola imagen horizontal los programas que manejo, manteniendo la información breve y predominantemente visual.</w:t>
      </w:r>
    </w:p>
    <w:p w:rsidR="00000000" w:rsidDel="00000000" w:rsidP="00000000" w:rsidRDefault="00000000" w:rsidRPr="00000000" w14:paraId="0000001C">
      <w:pPr>
        <w:spacing w:after="240" w:before="240" w:lineRule="auto"/>
        <w:rPr>
          <w:rFonts w:ascii="Lexend Light" w:cs="Lexend Light" w:eastAsia="Lexend Light" w:hAnsi="Lexend Light"/>
          <w:sz w:val="22"/>
          <w:szCs w:val="22"/>
        </w:rPr>
      </w:pPr>
      <w:r>
        <w:t>La formación y la biografía aparecen dentro de About. Las habilidades técnicas se representan visualmente en la sección Software mediante una imagen con los programas que manejo.</w:t>
      </w:r>
    </w:p>
    <w:p w:rsidR="00000000" w:rsidDel="00000000" w:rsidP="00000000" w:rsidRDefault="00000000" w:rsidRPr="00000000" w14:paraId="0000001D">
      <w:pPr>
        <w:spacing w:after="140" w:lineRule="auto"/>
        <w:rPr>
          <w:rFonts w:ascii="Lexend Light" w:cs="Lexend Light" w:eastAsia="Lexend Light" w:hAnsi="Lexend Light"/>
          <w:sz w:val="22"/>
          <w:szCs w:val="22"/>
        </w:rPr>
      </w:pPr>
      <w:r>
        <w:t>About utiliza una composición visual breve y fácil de escanear. La fotografía y la tarjeta biográfica tienen el mismo protagonismo, mientras que Software se separa como un bloque propio para no sobrecargar la presentación personal.</w:t>
      </w:r>
    </w:p>
    <w:p w:rsidR="00000000" w:rsidDel="00000000" w:rsidP="00000000" w:rsidRDefault="00000000" w:rsidRPr="00000000" w14:paraId="0000001E">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4 · Brand</w:t>
      </w:r>
      <w:r w:rsidDel="00000000" w:rsidR="00000000" w:rsidRPr="00000000">
        <w:rPr>
          <w:rtl w:val="0"/>
        </w:rPr>
      </w:r>
    </w:p>
    <w:p w:rsidR="00000000" w:rsidDel="00000000" w:rsidP="00000000" w:rsidRDefault="00000000" w:rsidRPr="00000000" w14:paraId="0000001F">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Brand es la primera y principal sección de proyectos. Reúne en una sola categoría los trabajos de identidad de marca y campañas, de modo que branding, dirección visual, sistemas gráficos y comunicación aplicada se entiendan como parte de una misma capacidad profesional.</w:t>
      </w:r>
      <w:r w:rsidDel="00000000" w:rsidR="00000000" w:rsidRPr="00000000">
        <w:rPr>
          <w:rtl w:val="0"/>
        </w:rPr>
      </w:r>
    </w:p>
    <w:p w:rsidR="00000000" w:rsidDel="00000000" w:rsidP="00000000" w:rsidRDefault="00000000" w:rsidRPr="00000000" w14:paraId="00000020">
      <w:pPr>
        <w:spacing w:after="140" w:lineRule="auto"/>
        <w:rPr>
          <w:rFonts w:ascii="Lexend Light" w:cs="Lexend Light" w:eastAsia="Lexend Light" w:hAnsi="Lexend Light"/>
          <w:sz w:val="22"/>
          <w:szCs w:val="22"/>
        </w:rPr>
      </w:pPr>
      <w:r>
        <w:t>La sección contiene exactamente tres proyectos: EVA, Pequeños cuidados y Cinema Queer México. Cada entrada presenta número, nombre, categoría, año, rol, una descripción breve y una galería de piezas finales.</w:t>
      </w:r>
    </w:p>
    <w:p w:rsidR="00000000" w:rsidDel="00000000" w:rsidP="00000000" w:rsidRDefault="00000000" w:rsidRPr="00000000" w14:paraId="00000021">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e7562e"/>
          <w:sz w:val="22"/>
          <w:szCs w:val="22"/>
          <w:rtl w:val="0"/>
        </w:rPr>
        <w:t xml:space="preserve">Proyectos incluidos</w:t>
      </w:r>
      <w:r w:rsidDel="00000000" w:rsidR="00000000" w:rsidRPr="00000000">
        <w:rPr>
          <w:rtl w:val="0"/>
        </w:rPr>
      </w:r>
    </w:p>
    <w:p w:rsidR="00000000" w:rsidDel="00000000" w:rsidP="00000000" w:rsidRDefault="00000000" w:rsidRPr="00000000" w14:paraId="00000022">
      <w:pPr>
        <w:spacing w:after="70" w:lineRule="auto"/>
        <w:ind w:left="280" w:hanging="160"/>
        <w:rPr>
          <w:rFonts w:ascii="Lexend Light" w:cs="Lexend Light" w:eastAsia="Lexend Light" w:hAnsi="Lexend Light"/>
          <w:sz w:val="22"/>
          <w:szCs w:val="22"/>
        </w:rPr>
      </w:pPr>
      <w:r>
        <w:t>• EVA: identidad visual para una exposición colectiva de ilustración.</w:t>
      </w:r>
    </w:p>
    <w:p w:rsidR="00000000" w:rsidDel="00000000" w:rsidP="00000000" w:rsidRDefault="00000000" w:rsidRPr="00000000" w14:paraId="00000023">
      <w:pPr>
        <w:spacing w:after="70" w:lineRule="auto"/>
        <w:ind w:left="280" w:hanging="160"/>
        <w:rPr>
          <w:rFonts w:ascii="Lexend Light" w:cs="Lexend Light" w:eastAsia="Lexend Light" w:hAnsi="Lexend Light"/>
          <w:sz w:val="22"/>
          <w:szCs w:val="22"/>
        </w:rPr>
      </w:pPr>
      <w:r>
        <w:t>• Pequeños cuidados y Cinema Queer México: dos campañas con sus piezas finales y aplicaciones principales.</w:t>
      </w:r>
    </w:p>
    <w:p w:rsidR="00000000" w:rsidDel="00000000" w:rsidP="00000000" w:rsidRDefault="00000000" w:rsidRPr="00000000" w14:paraId="00000024">
      <w:pPr>
        <w:spacing w:after="140" w:lineRule="auto"/>
        <w:rPr>
          <w:rFonts w:ascii="Lexend Light" w:cs="Lexend Light" w:eastAsia="Lexend Light" w:hAnsi="Lexend Light"/>
          <w:sz w:val="22"/>
          <w:szCs w:val="22"/>
        </w:rPr>
      </w:pPr>
      <w:r>
        <w:t>Los tres proyectos tienen una entrada visible y consecutiva dentro de Brand. EVA y Pequeños cuidados muestran cuatro imágenes cada uno; Cinema Queer México muestra tres. Todas las piezas de estas galerías pueden ampliarse en un lightbox sin abandonar la página.</w:t>
      </w:r>
    </w:p>
    <w:p w:rsidR="00000000" w:rsidDel="00000000" w:rsidP="00000000" w:rsidRDefault="00000000" w:rsidRPr="00000000" w14:paraId="00000025">
      <w:pPr>
        <w:spacing w:after="80" w:before="200" w:lineRule="auto"/>
        <w:rPr>
          <w:rFonts w:ascii="Lexend Light" w:cs="Lexend Light" w:eastAsia="Lexend Light" w:hAnsi="Lexend Light"/>
          <w:sz w:val="22"/>
          <w:szCs w:val="22"/>
        </w:rPr>
      </w:pPr>
      <w:r>
        <w:t>Proyecto 1 · EVA</w:t>
      </w:r>
    </w:p>
    <w:p w:rsidR="00000000" w:rsidDel="00000000" w:rsidP="00000000" w:rsidRDefault="00000000" w:rsidRPr="00000000" w14:paraId="00000026">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Identidad visual · Exposición colectiva · 2025 · Rol: diseño de identidad visual.</w:t>
      </w:r>
      <w:r w:rsidDel="00000000" w:rsidR="00000000" w:rsidRPr="00000000">
        <w:rPr>
          <w:rtl w:val="0"/>
        </w:rPr>
      </w:r>
    </w:p>
    <w:p w:rsidR="00000000" w:rsidDel="00000000" w:rsidP="00000000" w:rsidRDefault="00000000" w:rsidRPr="00000000" w14:paraId="00000027">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Texto breve: “EVA es la identidad visual de una exposición colectiva de ilustración que reinterpreta la figura de Eva como símbolo del origen de lo femenino. El concepto ‘Fragmentación de lo femenino’ representa una identidad dividida por factores sociales, culturales y emocionales que puede reconstruirse mediante la introspección, la creatividad y la resistencia.”</w:t>
      </w:r>
      <w:r w:rsidDel="00000000" w:rsidR="00000000" w:rsidRPr="00000000">
        <w:rPr>
          <w:rtl w:val="0"/>
        </w:rPr>
      </w:r>
    </w:p>
    <w:p w:rsidR="00000000" w:rsidDel="00000000" w:rsidP="00000000" w:rsidRDefault="00000000" w:rsidRPr="00000000" w14:paraId="00000029">
      <w:pPr>
        <w:spacing w:after="140" w:lineRule="auto"/>
        <w:ind w:left="280" w:hanging="160"/>
        <w:rPr>
          <w:rFonts w:ascii="Lexend Light" w:cs="Lexend Light" w:eastAsia="Lexend Light" w:hAnsi="Lexend Light"/>
          <w:sz w:val="22"/>
          <w:szCs w:val="22"/>
        </w:rPr>
      </w:pPr>
      <w:r>
        <w:t>Proyecto 2 · Pequeños cuidados</w:t>
      </w:r>
    </w:p>
    <w:p w:rsidR="00000000" w:rsidDel="00000000" w:rsidP="00000000" w:rsidRDefault="00000000" w:rsidRPr="00000000" w14:paraId="0000002A">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Campaña de autoexploración mamaria · Público: adolescentes y jóvenes de 14 a 19 años · 2026 · Rol: estrategia y desarrollo creativo de campaña.</w:t>
      </w:r>
    </w:p>
    <w:p w:rsidR="00000000" w:rsidDel="00000000" w:rsidP="00000000" w:rsidRDefault="00000000" w:rsidRPr="00000000" w14:paraId="0000002B">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Texto breve: “Pequeños cuidados es una campaña de salud que acerca la autoexploración mamaria a la vida cotidiana de adolescentes y jóvenes. Parte de tres ideas —familiaridad, confianza y hábito— para presentar la revisión mensual como una acción sencilla, íntima y preventiva, alejada de un tono médico o alarmista.”</w:t>
      </w:r>
    </w:p>
    <w:p w:rsidR="00000000" w:rsidDel="00000000" w:rsidP="00000000" w:rsidRDefault="00000000" w:rsidRPr="00000000" w14:paraId="0000002D">
      <w:pPr>
        <w:spacing w:after="140" w:lineRule="auto"/>
        <w:ind w:left="280" w:hanging="160"/>
        <w:rPr>
          <w:rFonts w:ascii="Lexend Light" w:cs="Lexend Light" w:eastAsia="Lexend Light" w:hAnsi="Lexend Light"/>
          <w:sz w:val="22"/>
          <w:szCs w:val="22"/>
        </w:rPr>
      </w:pPr>
      <w:r>
        <w:t>Proyecto 3 · Cinema Queer México</w:t>
      </w:r>
    </w:p>
    <w:p w:rsidR="00000000" w:rsidDel="00000000" w:rsidP="00000000" w:rsidRDefault="00000000" w:rsidRPr="00000000" w14:paraId="0000002E">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Campaña cultural para festival de cine · Público: jóvenes adultos LGBTQ+ y aliadxs de CDMX · 2026 · Rol: estrategia y desarrollo creativo de campaña.</w:t>
      </w:r>
    </w:p>
    <w:p w:rsidR="00000000" w:rsidDel="00000000" w:rsidP="00000000" w:rsidRDefault="00000000" w:rsidRPr="00000000" w14:paraId="0000002F">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Texto breve: “Cinema Queer México es una campaña para un festival de cine independiente especializado en narrativas LGBTQ+. Bajo el concepto ‘Existir sin miedo’, posiciona al festival como un espacio de visibilidad, comunidad y pertenencia, donde las identidades y experiencias queer pueden expresarse con libertad.”</w:t>
      </w:r>
    </w:p>
    <w:p w:rsidR="00000000" w:rsidDel="00000000" w:rsidP="00000000" w:rsidRDefault="00000000" w:rsidRPr="00000000" w14:paraId="00000031">
      <w:pPr>
        <w:spacing w:after="80" w:before="200" w:lineRule="auto"/>
        <w:rPr>
          <w:rFonts w:ascii="Lexend Light" w:cs="Lexend Light" w:eastAsia="Lexend Light" w:hAnsi="Lexend Light"/>
          <w:sz w:val="22"/>
          <w:szCs w:val="22"/>
        </w:rPr>
      </w:pPr>
      <w:r>
        <w:t>Imágenes dentro de Brand</w:t>
      </w:r>
    </w:p>
    <w:p w:rsidR="00000000" w:rsidDel="00000000" w:rsidP="00000000" w:rsidRDefault="00000000" w:rsidRPr="00000000" w14:paraId="00000032">
      <w:pPr>
        <w:spacing w:after="140" w:lineRule="auto"/>
        <w:rPr>
          <w:rFonts w:ascii="Lexend Light" w:cs="Lexend Light" w:eastAsia="Lexend Light" w:hAnsi="Lexend Light"/>
          <w:sz w:val="22"/>
          <w:szCs w:val="22"/>
        </w:rPr>
      </w:pPr>
      <w:r>
        <w:t>Cada proyecto tiene nombre, metadatos, descripción y una galería visual dentro de su propio bloque. EVA y Pequeños cuidados muestran cuatro imágenes cada uno; Cinema Queer México muestra tres. Las imágenes se adaptan al ancho disponible y pueden ampliarse en un lightbox con navegación anterior y siguiente.</w:t>
      </w:r>
    </w:p>
    <w:p w:rsidR="00000000" w:rsidDel="00000000" w:rsidP="00000000" w:rsidRDefault="00000000" w:rsidRPr="00000000" w14:paraId="00000033">
      <w:pPr>
        <w:spacing w:after="70" w:lineRule="auto"/>
        <w:ind w:left="280" w:hanging="160"/>
        <w:rPr>
          <w:rFonts w:ascii="Lexend Light" w:cs="Lexend Light" w:eastAsia="Lexend Light" w:hAnsi="Lexend Light"/>
          <w:sz w:val="22"/>
          <w:szCs w:val="22"/>
        </w:rPr>
      </w:pPr>
      <w:r>
        <w:t>• Fotografías, carteles y mockups de las aplicaciones finales.</w:t>
      </w:r>
    </w:p>
    <w:p w:rsidR="00000000" w:rsidDel="00000000" w:rsidP="00000000" w:rsidRDefault="00000000" w:rsidRPr="00000000" w14:paraId="00000034">
      <w:pPr>
        <w:spacing w:after="70" w:lineRule="auto"/>
        <w:ind w:left="280" w:hanging="160"/>
        <w:rPr>
          <w:rFonts w:ascii="Lexend Light" w:cs="Lexend Light" w:eastAsia="Lexend Light" w:hAnsi="Lexend Light"/>
          <w:sz w:val="22"/>
          <w:szCs w:val="22"/>
        </w:rPr>
      </w:pPr>
      <w:r>
        <w:t>• Piezas de identidad, campaña, medios impresos y aplicaciones digitales.</w:t>
      </w:r>
    </w:p>
    <w:p w:rsidR="00000000" w:rsidDel="00000000" w:rsidP="00000000" w:rsidRDefault="00000000" w:rsidRPr="00000000" w14:paraId="00000035">
      <w:pPr>
        <w:spacing w:after="70" w:lineRule="auto"/>
        <w:ind w:left="280" w:hanging="160"/>
        <w:rPr>
          <w:rFonts w:ascii="Lexend Light" w:cs="Lexend Light" w:eastAsia="Lexend Light" w:hAnsi="Lexend Light"/>
          <w:sz w:val="22"/>
          <w:szCs w:val="22"/>
        </w:rPr>
      </w:pPr>
      <w:r>
        <w:t>• Galerías de cuatro o tres imágenes, según el material disponible de cada proyecto.</w:t>
      </w:r>
    </w:p>
    <w:p w:rsidR="00000000" w:rsidDel="00000000" w:rsidP="00000000" w:rsidRDefault="00000000" w:rsidRPr="00000000" w14:paraId="00000036">
      <w:pPr>
        <w:spacing w:after="80" w:before="200" w:lineRule="auto"/>
        <w:rPr>
          <w:rFonts w:ascii="Lexend Light" w:cs="Lexend Light" w:eastAsia="Lexend Light" w:hAnsi="Lexend Light"/>
          <w:sz w:val="22"/>
          <w:szCs w:val="22"/>
        </w:rPr>
      </w:pPr>
      <w:r>
        <w:t>Contenido visible de cada proyecto dentro de Brand</w:t>
      </w:r>
    </w:p>
    <w:p w:rsidR="00000000" w:rsidDel="00000000" w:rsidP="00000000" w:rsidRDefault="00000000" w:rsidRPr="00000000" w14:paraId="00000037">
      <w:pPr>
        <w:spacing w:after="70" w:lineRule="auto"/>
        <w:ind w:left="280" w:hanging="160"/>
        <w:rPr>
          <w:rFonts w:ascii="Lexend Light" w:cs="Lexend Light" w:eastAsia="Lexend Light" w:hAnsi="Lexend Light"/>
          <w:sz w:val="22"/>
          <w:szCs w:val="22"/>
        </w:rPr>
      </w:pPr>
      <w:r>
        <w:t>• Nombre, número, categoría, año y rol.</w:t>
      </w:r>
    </w:p>
    <w:p w:rsidR="00000000" w:rsidDel="00000000" w:rsidP="00000000" w:rsidRDefault="00000000" w:rsidRPr="00000000" w14:paraId="00000038">
      <w:pPr>
        <w:spacing w:after="70" w:lineRule="auto"/>
        <w:ind w:left="280" w:hanging="160"/>
        <w:rPr>
          <w:rFonts w:ascii="Lexend Light" w:cs="Lexend Light" w:eastAsia="Lexend Light" w:hAnsi="Lexend Light"/>
          <w:sz w:val="22"/>
          <w:szCs w:val="22"/>
        </w:rPr>
      </w:pPr>
      <w:r>
        <w:t>• Descripción breve del concepto o idea rectora.</w:t>
      </w:r>
    </w:p>
    <w:p w:rsidR="00000000" w:rsidDel="00000000" w:rsidP="00000000" w:rsidRDefault="00000000" w:rsidRPr="00000000" w14:paraId="00000039">
      <w:pPr>
        <w:spacing w:after="70" w:lineRule="auto"/>
        <w:ind w:left="280" w:hanging="160"/>
        <w:rPr>
          <w:rFonts w:ascii="Lexend Light" w:cs="Lexend Light" w:eastAsia="Lexend Light" w:hAnsi="Lexend Light"/>
          <w:sz w:val="22"/>
          <w:szCs w:val="22"/>
        </w:rPr>
      </w:pPr>
      <w:r>
        <w:t>• Resultado final mediante imágenes, aplicaciones, mockups y piezas de campaña.</w:t>
      </w:r>
    </w:p>
    <w:p w:rsidR="00000000" w:rsidDel="00000000" w:rsidP="00000000" w:rsidRDefault="00000000" w:rsidRPr="00000000" w14:paraId="0000003B">
      <w:pPr>
        <w:spacing w:after="140" w:lineRule="auto"/>
        <w:rPr>
          <w:rFonts w:ascii="Lexend Light" w:cs="Lexend Light" w:eastAsia="Lexend Light" w:hAnsi="Lexend Light"/>
          <w:sz w:val="22"/>
          <w:szCs w:val="22"/>
        </w:rPr>
      </w:pPr>
      <w:r>
        <w:t>Cada bloque es visual y directo. Al terminar un proyecto, el siguiente continúa debajo dentro de Brand, sin abrir una página independiente.</w:t>
      </w:r>
    </w:p>
    <w:p w:rsidR="00000000" w:rsidDel="00000000" w:rsidP="00000000" w:rsidRDefault="00000000" w:rsidRPr="00000000" w14:paraId="0000003C">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5 · Motion</w:t>
      </w:r>
      <w:r w:rsidDel="00000000" w:rsidR="00000000" w:rsidRPr="00000000">
        <w:rPr>
          <w:rtl w:val="0"/>
        </w:rPr>
      </w:r>
    </w:p>
    <w:p w:rsidR="00000000" w:rsidDel="00000000" w:rsidP="00000000" w:rsidRDefault="00000000" w:rsidRPr="00000000" w14:paraId="0000003D">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Esta sección reúne motion graphics y animación dentro de una misma área. Su función es mostrar que mi perfil no se limita a piezas estáticas y que puedo trabajar con movimiento, composición audiovisual y narrativa visual como extensión del diseño gráfico.</w:t>
      </w:r>
      <w:r w:rsidDel="00000000" w:rsidR="00000000" w:rsidRPr="00000000">
        <w:rPr>
          <w:rtl w:val="0"/>
        </w:rPr>
      </w:r>
    </w:p>
    <w:p w:rsidR="00000000" w:rsidDel="00000000" w:rsidP="00000000" w:rsidRDefault="00000000" w:rsidRPr="00000000" w14:paraId="0000003E">
      <w:pPr>
        <w:spacing w:after="140" w:lineRule="auto"/>
        <w:rPr>
          <w:rFonts w:ascii="Lexend Light" w:cs="Lexend Light" w:eastAsia="Lexend Light" w:hAnsi="Lexend Light"/>
          <w:sz w:val="22"/>
          <w:szCs w:val="22"/>
        </w:rPr>
      </w:pPr>
      <w:r>
        <w:t>La sección contiene dos proyectos de motion graphics presentados en una retícula de dos columnas: Fanta · Estallido de sabor y Los lugares recuerdan. Cada uno incluye número, nombre, tipo de pieza, año, rol, descripción y video con controles. Ambos videos están silenciados, pueden reproducirse en loop y no se inician automáticamente.</w:t>
      </w:r>
    </w:p>
    <w:p w:rsidR="00000000" w:rsidDel="00000000" w:rsidP="00000000" w:rsidRDefault="00000000" w:rsidRPr="00000000" w14:paraId="0000003F">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e7562e"/>
          <w:sz w:val="22"/>
          <w:szCs w:val="22"/>
          <w:rtl w:val="0"/>
        </w:rPr>
        <w:t xml:space="preserve">Proyectos incluidos</w:t>
      </w:r>
      <w:r w:rsidDel="00000000" w:rsidR="00000000" w:rsidRPr="00000000">
        <w:rPr>
          <w:rtl w:val="0"/>
        </w:rPr>
      </w:r>
    </w:p>
    <w:p w:rsidR="00000000" w:rsidDel="00000000" w:rsidP="00000000" w:rsidRDefault="00000000" w:rsidRPr="00000000" w14:paraId="00000040">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2 proyectos de motion graphics seleccionados por calidad y relevancia.</w:t>
      </w:r>
      <w:r w:rsidDel="00000000" w:rsidR="00000000" w:rsidRPr="00000000">
        <w:rPr>
          <w:rtl w:val="0"/>
        </w:rPr>
      </w:r>
    </w:p>
    <w:p w:rsidR="00000000" w:rsidDel="00000000" w:rsidP="00000000" w:rsidRDefault="00000000" w:rsidRPr="00000000" w14:paraId="00000041">
      <w:pPr>
        <w:spacing w:after="70" w:lineRule="auto"/>
        <w:ind w:left="280" w:hanging="160"/>
        <w:rPr>
          <w:rFonts w:ascii="Lexend Light" w:cs="Lexend Light" w:eastAsia="Lexend Light" w:hAnsi="Lexend Light"/>
          <w:sz w:val="22"/>
          <w:szCs w:val="22"/>
        </w:rPr>
      </w:pPr>
      <w:r>
        <w:t>• Los lugares recuerdan se identifica de forma visible como trabajo colaborativo y especifica mi aportación en las escenas del parque y del mar.</w:t>
      </w:r>
    </w:p>
    <w:p w:rsidR="00000000" w:rsidDel="00000000" w:rsidP="00000000" w:rsidRDefault="00000000" w:rsidRPr="00000000" w14:paraId="00000042">
      <w:pPr>
        <w:spacing w:after="140" w:lineRule="auto"/>
        <w:ind w:left="280" w:hanging="160"/>
        <w:rPr>
          <w:rFonts w:ascii="Lexend Light" w:cs="Lexend Light" w:eastAsia="Lexend Light" w:hAnsi="Lexend Light"/>
          <w:sz w:val="22"/>
          <w:szCs w:val="22"/>
        </w:rPr>
      </w:pPr>
      <w:r>
        <w:t>Proyecto 1 · Fanta — Estallido de sabor</w:t>
      </w:r>
    </w:p>
    <w:p w:rsidR="00000000" w:rsidDel="00000000" w:rsidP="00000000" w:rsidRDefault="00000000" w:rsidRPr="00000000" w14:paraId="00000043">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Promocional animado para TikTok · Motion graphics · 2026 · Rol: concepto visual, diseño y animación de la pieza.</w:t>
      </w:r>
    </w:p>
    <w:p w:rsidR="00000000" w:rsidDel="00000000" w:rsidP="00000000" w:rsidRDefault="00000000" w:rsidRPr="00000000" w14:paraId="00000044">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Texto breve: “Estallido de sabor es un promocional animado para TikTok que traduce la energía, frescura y espontaneidad de Fanta en una pieza breve y dinámica. El concepto parte del instante en que el sabor aparece y libera una energía que transforma la escena, utilizando color, movimiento y ritmo para generar impacto y recordación.”</w:t>
      </w:r>
    </w:p>
    <w:p w:rsidR="00000000" w:rsidDel="00000000" w:rsidP="00000000" w:rsidRDefault="00000000" w:rsidRPr="00000000" w14:paraId="00000045">
      <w:pPr>
        <w:spacing w:after="140" w:lineRule="auto"/>
        <w:ind w:left="280" w:hanging="160"/>
        <w:rPr>
          <w:rFonts w:ascii="Lexend Light" w:cs="Lexend Light" w:eastAsia="Lexend Light" w:hAnsi="Lexend Light"/>
          <w:sz w:val="22"/>
          <w:szCs w:val="22"/>
        </w:rPr>
      </w:pPr>
      <w:r>
        <w:t>El proyecto muestra el video final en formato vertical con controles visibles, sonido desactivado y reproducción en loop.</w:t>
      </w:r>
    </w:p>
    <w:p w:rsidR="00000000" w:rsidDel="00000000" w:rsidP="00000000" w:rsidRDefault="00000000" w:rsidRPr="00000000" w14:paraId="00000046">
      <w:pPr>
        <w:spacing w:after="140" w:lineRule="auto"/>
        <w:ind w:left="280" w:hanging="160"/>
        <w:rPr>
          <w:rFonts w:ascii="Lexend Light" w:cs="Lexend Light" w:eastAsia="Lexend Light" w:hAnsi="Lexend Light"/>
          <w:sz w:val="22"/>
          <w:szCs w:val="22"/>
        </w:rPr>
      </w:pPr>
      <w:r>
        <w:t>Proyecto 2 · Los lugares recuerdan — créditos finales para Robot Dreams</w:t>
      </w:r>
    </w:p>
    <w:p w:rsidR="00000000" w:rsidDel="00000000" w:rsidP="00000000" w:rsidRDefault="00000000" w:rsidRPr="00000000" w14:paraId="00000047">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Secuencia animada de créditos finales · Motion graphics · 2026 · Trabajo colaborativo · Mi aportación principal: escenas del parque y del mar.</w:t>
      </w:r>
    </w:p>
    <w:p w:rsidR="00000000" w:rsidDel="00000000" w:rsidP="00000000" w:rsidRDefault="00000000" w:rsidRPr="00000000" w14:paraId="00000048">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 Rol exacto en las escenas del parque y del mar: animación</w:t>
      </w:r>
    </w:p>
    <w:p w:rsidR="00000000" w:rsidDel="00000000" w:rsidP="00000000" w:rsidRDefault="00000000" w:rsidRPr="00000000" w14:paraId="00000049">
      <w:pPr>
        <w:spacing w:after="14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Texto breve: “Los lugares recuerdan es una secuencia animada de créditos finales inspirada en la relación entre el Perro y el Robot. La propuesta convierte los créditos en una extensión narrativa de la historia, integrándolos en espacios y momentos que evocan la memoria, la distancia y el paso del tiempo.”</w:t>
      </w:r>
    </w:p>
    <w:p w:rsidR="00000000" w:rsidDel="00000000" w:rsidP="00000000" w:rsidRDefault="00000000" w:rsidRPr="00000000" w14:paraId="0000004A">
      <w:pPr>
        <w:spacing w:after="140" w:lineRule="auto"/>
        <w:ind w:left="280" w:hanging="160"/>
        <w:rPr>
          <w:rFonts w:ascii="Lexend Light" w:cs="Lexend Light" w:eastAsia="Lexend Light" w:hAnsi="Lexend Light"/>
          <w:sz w:val="22"/>
          <w:szCs w:val="22"/>
        </w:rPr>
      </w:pPr>
      <w:r>
        <w:t>El proyecto muestra la secuencia final en formato horizontal y una etiqueta visible de “Trabajo colaborativo”. El rol indica que mi aportación corresponde a la animación de las escenas del parque y del mar.</w:t>
      </w:r>
    </w:p>
    <w:p w:rsidR="00000000" w:rsidDel="00000000" w:rsidP="00000000" w:rsidRDefault="00000000" w:rsidRPr="00000000" w14:paraId="0000004B">
      <w:pPr>
        <w:spacing w:after="80" w:before="200" w:lineRule="auto"/>
        <w:rPr>
          <w:rFonts w:ascii="Lexend Light" w:cs="Lexend Light" w:eastAsia="Lexend Light" w:hAnsi="Lexend Light"/>
          <w:sz w:val="22"/>
          <w:szCs w:val="22"/>
        </w:rPr>
      </w:pPr>
      <w:r>
        <w:t>Video dentro de Motion</w:t>
      </w:r>
    </w:p>
    <w:p w:rsidR="00000000" w:rsidDel="00000000" w:rsidP="00000000" w:rsidRDefault="00000000" w:rsidRPr="00000000" w14:paraId="0000004C">
      <w:pPr>
        <w:spacing w:after="140" w:lineRule="auto"/>
        <w:rPr>
          <w:rFonts w:ascii="Lexend Light" w:cs="Lexend Light" w:eastAsia="Lexend Light" w:hAnsi="Lexend Light"/>
          <w:sz w:val="22"/>
          <w:szCs w:val="22"/>
        </w:rPr>
      </w:pPr>
      <w:r>
        <w:t>Esta sección se siente más audiovisual que Brand y utiliza fondo negro para diferenciarse. Los dos proyectos aparecen lado a lado en escritorio y se apilan en móvil. El video vertical de Fanta y el video horizontal de Los lugares recuerdan son el único material visual de cada proyecto en el resultado actual.</w:t>
      </w:r>
    </w:p>
    <w:p w:rsidR="00000000" w:rsidDel="00000000" w:rsidP="00000000" w:rsidRDefault="00000000" w:rsidRPr="00000000" w14:paraId="0000004D">
      <w:pPr>
        <w:spacing w:after="70" w:lineRule="auto"/>
        <w:ind w:left="280" w:hanging="160"/>
        <w:rPr>
          <w:rFonts w:ascii="Lexend Light" w:cs="Lexend Light" w:eastAsia="Lexend Light" w:hAnsi="Lexend Light"/>
          <w:sz w:val="22"/>
          <w:szCs w:val="22"/>
        </w:rPr>
      </w:pPr>
      <w:r>
        <w:t>• Videos con controles visibles, sonido desactivado por defecto y reproducción en loop.</w:t>
      </w:r>
    </w:p>
    <w:p w:rsidR="00000000" w:rsidDel="00000000" w:rsidP="00000000" w:rsidRDefault="00000000" w:rsidRPr="00000000" w14:paraId="0000004E">
      <w:pPr>
        <w:spacing w:after="70" w:lineRule="auto"/>
        <w:ind w:left="280" w:hanging="160"/>
        <w:rPr>
          <w:rFonts w:ascii="Lexend Light" w:cs="Lexend Light" w:eastAsia="Lexend Light" w:hAnsi="Lexend Light"/>
          <w:sz w:val="22"/>
          <w:szCs w:val="22"/>
        </w:rPr>
      </w:pPr>
      <w:r>
        <w:t>• Etiqueta “Trabajo colaborativo” visible antes del título de Los lugares recuerdan.</w:t>
      </w:r>
    </w:p>
    <w:p w:rsidR="00000000" w:rsidDel="00000000" w:rsidP="00000000" w:rsidRDefault="00000000" w:rsidRPr="00000000" w14:paraId="0000004F">
      <w:pPr>
        <w:spacing w:after="70" w:lineRule="auto"/>
        <w:ind w:left="0" w:firstLine="0"/>
        <w:rPr>
          <w:rFonts w:ascii="Lexend Light" w:cs="Lexend Light" w:eastAsia="Lexend Light" w:hAnsi="Lexend Light"/>
          <w:sz w:val="22"/>
          <w:szCs w:val="22"/>
        </w:rPr>
      </w:pPr>
      <w:r w:rsidDel="00000000" w:rsidR="00000000" w:rsidRPr="00000000">
        <w:rPr>
          <w:rtl w:val="0"/>
        </w:rPr>
      </w:r>
    </w:p>
    <w:p w:rsidR="00000000" w:rsidDel="00000000" w:rsidP="00000000" w:rsidRDefault="00000000" w:rsidRPr="00000000" w14:paraId="00000057">
      <w:pPr>
        <w:spacing w:after="140" w:lineRule="auto"/>
        <w:rPr>
          <w:rFonts w:ascii="Lexend Light" w:cs="Lexend Light" w:eastAsia="Lexend Light" w:hAnsi="Lexend Light"/>
          <w:sz w:val="22"/>
          <w:szCs w:val="22"/>
        </w:rPr>
      </w:pPr>
      <w:r>
        <w:t>En móvil, los dos proyectos se apilan y los videos conservan el ancho disponible, los controles y la legibilidad sin bloquear la navegación.</w:t>
      </w:r>
    </w:p>
    <w:p w:rsidR="00000000" w:rsidDel="00000000" w:rsidP="00000000" w:rsidRDefault="00000000" w:rsidRPr="00000000" w14:paraId="00000058">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6 · Illustration</w:t>
      </w:r>
      <w:r w:rsidDel="00000000" w:rsidR="00000000" w:rsidRPr="00000000">
        <w:rPr>
          <w:rtl w:val="0"/>
        </w:rPr>
      </w:r>
    </w:p>
    <w:p w:rsidR="00000000" w:rsidDel="00000000" w:rsidP="00000000" w:rsidRDefault="00000000" w:rsidRPr="00000000" w14:paraId="00000059">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Illustration funciona como el área más visual y personal del portafolio. Reúne una selección breve de ilustraciones realizadas por iniciativa propia y muestra mi estilo y exploración gráfica sin convertir las piezas en casos de estudio.</w:t>
      </w:r>
      <w:r w:rsidDel="00000000" w:rsidR="00000000" w:rsidRPr="00000000">
        <w:rPr>
          <w:rtl w:val="0"/>
        </w:rPr>
      </w:r>
    </w:p>
    <w:p w:rsidR="00000000" w:rsidDel="00000000" w:rsidP="00000000" w:rsidRDefault="00000000" w:rsidRPr="00000000" w14:paraId="0000005A">
      <w:pPr>
        <w:spacing w:after="140" w:lineRule="auto"/>
        <w:rPr>
          <w:rFonts w:ascii="Lexend Light" w:cs="Lexend Light" w:eastAsia="Lexend Light" w:hAnsi="Lexend Light"/>
          <w:sz w:val="22"/>
          <w:szCs w:val="22"/>
        </w:rPr>
      </w:pPr>
      <w:r>
        <w:t>La sección reúne seis ilustraciones seleccionadas en una galería curada de tres columnas. No muestra títulos, fechas ni descripciones individuales; en cambio, incorpora un texto general que explica mi interés por el dibujo, los personajes, el estilo cartoon, los colores vibrantes y la exploración personal.</w:t>
      </w:r>
    </w:p>
    <w:p w:rsidR="00000000" w:rsidDel="00000000" w:rsidP="00000000" w:rsidRDefault="00000000" w:rsidRPr="00000000" w14:paraId="0000005B">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e7562e"/>
          <w:sz w:val="22"/>
          <w:szCs w:val="22"/>
          <w:rtl w:val="0"/>
        </w:rPr>
        <w:t xml:space="preserve">Piezas incluidas</w:t>
      </w:r>
      <w:r w:rsidDel="00000000" w:rsidR="00000000" w:rsidRPr="00000000">
        <w:rPr>
          <w:rtl w:val="0"/>
        </w:rPr>
      </w:r>
    </w:p>
    <w:p w:rsidR="00000000" w:rsidDel="00000000" w:rsidP="00000000" w:rsidRDefault="00000000" w:rsidRPr="00000000" w14:paraId="0000005C">
      <w:pPr>
        <w:spacing w:after="70" w:lineRule="auto"/>
        <w:ind w:left="280" w:hanging="160"/>
        <w:rPr>
          <w:rFonts w:ascii="Lexend Light" w:cs="Lexend Light" w:eastAsia="Lexend Light" w:hAnsi="Lexend Light"/>
          <w:sz w:val="22"/>
          <w:szCs w:val="22"/>
        </w:rPr>
      </w:pPr>
      <w:r>
        <w:t>• 6 ilustraciones seleccionadas: Personaje, Helado, Lot 100, Metro, Punk y Tienda.</w:t>
      </w:r>
    </w:p>
    <w:p w:rsidR="00000000" w:rsidDel="00000000" w:rsidP="00000000" w:rsidRDefault="00000000" w:rsidRPr="00000000" w14:paraId="0000005D">
      <w:pPr>
        <w:spacing w:after="140" w:lineRule="auto"/>
        <w:rPr>
          <w:rFonts w:ascii="Lexend Light" w:cs="Lexend Light" w:eastAsia="Lexend Light" w:hAnsi="Lexend Light"/>
          <w:sz w:val="22"/>
          <w:szCs w:val="22"/>
        </w:rPr>
      </w:pPr>
      <w:r>
        <w:t>Las seis ilustraciones mantienen la misma proporción dentro de una retícula de tres columnas. La segunda fila se desplaza ligeramente para generar ritmo sin reducir la presencia de ninguna pieza.</w:t>
      </w:r>
    </w:p>
    <w:p w:rsidR="00000000" w:rsidDel="00000000" w:rsidP="00000000" w:rsidRDefault="00000000" w:rsidRPr="00000000" w14:paraId="0000005E">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e7562e"/>
          <w:sz w:val="22"/>
          <w:szCs w:val="22"/>
          <w:rtl w:val="0"/>
        </w:rPr>
        <w:t xml:space="preserve">Galería visual de Illustration</w:t>
      </w:r>
      <w:r w:rsidDel="00000000" w:rsidR="00000000" w:rsidRPr="00000000">
        <w:rPr>
          <w:rtl w:val="0"/>
        </w:rPr>
      </w:r>
    </w:p>
    <w:p w:rsidR="00000000" w:rsidDel="00000000" w:rsidP="00000000" w:rsidRDefault="00000000" w:rsidRPr="00000000" w14:paraId="0000005F">
      <w:pPr>
        <w:spacing w:after="140" w:lineRule="auto"/>
        <w:rPr>
          <w:rFonts w:ascii="Lexend Light" w:cs="Lexend Light" w:eastAsia="Lexend Light" w:hAnsi="Lexend Light"/>
          <w:sz w:val="22"/>
          <w:szCs w:val="22"/>
        </w:rPr>
      </w:pPr>
      <w:r>
        <w:t>La imagen domina casi por completo esta sección. A la izquierda aparecen el título y una introducción general; a la derecha, las seis ilustraciones finales se organizan en una galería de tres columnas con separación uniforme.</w:t>
      </w:r>
    </w:p>
    <w:p w:rsidR="00000000" w:rsidDel="00000000" w:rsidP="00000000" w:rsidRDefault="00000000" w:rsidRPr="00000000" w14:paraId="00000060">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Ilustraciones finales a gran tamaño y sin marcos decorativos innecesarios.</w:t>
      </w:r>
      <w:r w:rsidDel="00000000" w:rsidR="00000000" w:rsidRPr="00000000">
        <w:rPr>
          <w:rtl w:val="0"/>
        </w:rPr>
      </w:r>
    </w:p>
    <w:p w:rsidR="00000000" w:rsidDel="00000000" w:rsidP="00000000" w:rsidRDefault="00000000" w:rsidRPr="00000000" w14:paraId="00000061">
      <w:pPr>
        <w:spacing w:after="70" w:lineRule="auto"/>
        <w:ind w:left="280" w:hanging="160"/>
        <w:rPr>
          <w:rFonts w:ascii="Lexend Light" w:cs="Lexend Light" w:eastAsia="Lexend Light" w:hAnsi="Lexend Light"/>
          <w:sz w:val="22"/>
          <w:szCs w:val="22"/>
        </w:rPr>
      </w:pPr>
      <w:r>
        <w:t>• No se agrega brief, concepto, fecha ni texto explicativo a cada pieza; la sección solo incluye una introducción general.</w:t>
      </w:r>
    </w:p>
    <w:p w:rsidR="00000000" w:rsidDel="00000000" w:rsidP="00000000" w:rsidRDefault="00000000" w:rsidRPr="00000000" w14:paraId="00000062">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El contenido debe concentrarse en las ilustraciones finales; no es necesario mostrar proceso.</w:t>
      </w:r>
      <w:r w:rsidDel="00000000" w:rsidR="00000000" w:rsidRPr="00000000">
        <w:rPr>
          <w:rtl w:val="0"/>
        </w:rPr>
      </w:r>
    </w:p>
    <w:p w:rsidR="00000000" w:rsidDel="00000000" w:rsidP="00000000" w:rsidRDefault="00000000" w:rsidRPr="00000000" w14:paraId="00000063">
      <w:pPr>
        <w:spacing w:after="140" w:lineRule="auto"/>
        <w:rPr>
          <w:rFonts w:ascii="Lexend Light" w:cs="Lexend Light" w:eastAsia="Lexend Light" w:hAnsi="Lexend Light"/>
          <w:sz w:val="22"/>
          <w:szCs w:val="22"/>
        </w:rPr>
      </w:pPr>
      <w:r>
        <w:t>Las seis ilustraciones pueden ampliarse mediante un lightbox superpuesto con botones anterior, siguiente y cerrar, además de navegación por teclado. La página no cambia de ruta y, al cerrar la vista, el usuario regresa al mismo punto del scroll.</w:t>
      </w:r>
    </w:p>
    <w:p w:rsidR="00000000" w:rsidDel="00000000" w:rsidP="00000000" w:rsidRDefault="00000000" w:rsidRPr="00000000" w14:paraId="00000064">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7 · Flujo continuo de proyectos en la landing</w:t>
      </w:r>
      <w:r w:rsidDel="00000000" w:rsidR="00000000" w:rsidRPr="00000000">
        <w:rPr>
          <w:rtl w:val="0"/>
        </w:rPr>
      </w:r>
    </w:p>
    <w:p w:rsidR="00000000" w:rsidDel="00000000" w:rsidP="00000000" w:rsidRDefault="00000000" w:rsidRPr="00000000" w14:paraId="00000065">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No existen páginas individuales de proyecto. Los tres proyectos de Brand, los dos de Motion y la galería de Illustration forman parte de la misma landing y aparecen en el orden definido dentro de sus respectivas secciones. El usuario debe poder recorrer todo el portafolio de principio a fin únicamente haciendo scroll.</w:t>
      </w:r>
      <w:r w:rsidDel="00000000" w:rsidR="00000000" w:rsidRPr="00000000">
        <w:rPr>
          <w:rtl w:val="0"/>
        </w:rPr>
      </w:r>
    </w:p>
    <w:p w:rsidR="00000000" w:rsidDel="00000000" w:rsidP="00000000" w:rsidRDefault="00000000" w:rsidRPr="00000000" w14:paraId="00000066">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La navegación fija, los CTA y las vistas previas funcionan como accesos rápidos mediante anclas internas y scroll suave. Estos accesos no sustituyen el recorrido vertical: simplemente adelantan al usuario al punto correspondiente sin cambiar de URL, recargar la página ni perder el contexto.</w:t>
      </w:r>
      <w:r w:rsidDel="00000000" w:rsidR="00000000" w:rsidRPr="00000000">
        <w:rPr>
          <w:rtl w:val="0"/>
        </w:rPr>
      </w:r>
    </w:p>
    <w:p w:rsidR="00000000" w:rsidDel="00000000" w:rsidP="00000000" w:rsidRDefault="00000000" w:rsidRPr="00000000" w14:paraId="00000067">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e7562e"/>
          <w:sz w:val="22"/>
          <w:szCs w:val="22"/>
          <w:rtl w:val="0"/>
        </w:rPr>
        <w:t xml:space="preserve">Desarrollo de proyectos dentro del flujo</w:t>
      </w:r>
      <w:r w:rsidDel="00000000" w:rsidR="00000000" w:rsidRPr="00000000">
        <w:rPr>
          <w:rtl w:val="0"/>
        </w:rPr>
      </w:r>
    </w:p>
    <w:p w:rsidR="00000000" w:rsidDel="00000000" w:rsidP="00000000" w:rsidRDefault="00000000" w:rsidRPr="00000000" w14:paraId="00000068">
      <w:pPr>
        <w:spacing w:after="140" w:lineRule="auto"/>
        <w:rPr>
          <w:rFonts w:ascii="Lexend Light" w:cs="Lexend Light" w:eastAsia="Lexend Light" w:hAnsi="Lexend Light"/>
          <w:sz w:val="22"/>
          <w:szCs w:val="22"/>
        </w:rPr>
      </w:pPr>
      <w:r>
        <w:t>Cada proyecto de Brand y Motion se desarrolla como un bloque dentro de su categoría. El contenido visual permanece como protagonista y se consulta sin salir de la landing.</w:t>
      </w:r>
    </w:p>
    <w:p w:rsidR="00000000" w:rsidDel="00000000" w:rsidP="00000000" w:rsidRDefault="00000000" w:rsidRPr="00000000" w14:paraId="00000069">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Brand: los tres proyectos aparecen consecutivamente dentro de la sección, cada uno con nombre, categoría, año, rol, texto breve y secuencia visual.</w:t>
      </w:r>
      <w:r w:rsidDel="00000000" w:rsidR="00000000" w:rsidRPr="00000000">
        <w:rPr>
          <w:rtl w:val="0"/>
        </w:rPr>
      </w:r>
    </w:p>
    <w:p w:rsidR="00000000" w:rsidDel="00000000" w:rsidP="00000000" w:rsidRDefault="00000000" w:rsidRPr="00000000" w14:paraId="0000006A">
      <w:pPr>
        <w:spacing w:after="70" w:lineRule="auto"/>
        <w:ind w:left="280" w:hanging="160"/>
        <w:rPr>
          <w:rFonts w:ascii="Lexend Light" w:cs="Lexend Light" w:eastAsia="Lexend Light" w:hAnsi="Lexend Light"/>
          <w:sz w:val="22"/>
          <w:szCs w:val="22"/>
        </w:rPr>
      </w:pPr>
      <w:r>
        <w:t>• Motion: los dos proyectos aparecen dentro de una retícula de dos columnas, cada uno con su video final.</w:t>
      </w:r>
    </w:p>
    <w:p w:rsidR="00000000" w:rsidDel="00000000" w:rsidP="00000000" w:rsidRDefault="00000000" w:rsidRPr="00000000" w14:paraId="0000006B">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Illustration: las seis piezas permanecen dentro de su galería y no generan páginas de proyecto.</w:t>
      </w:r>
      <w:r w:rsidDel="00000000" w:rsidR="00000000" w:rsidRPr="00000000">
        <w:rPr>
          <w:rtl w:val="0"/>
        </w:rPr>
      </w:r>
    </w:p>
    <w:p w:rsidR="00000000" w:rsidDel="00000000" w:rsidP="00000000" w:rsidRDefault="00000000" w:rsidRPr="00000000" w14:paraId="0000006C">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Los enlaces del menú, CTA y previews solo desplazan la página hasta la sección o proyecto correspondiente.</w:t>
      </w:r>
      <w:r w:rsidDel="00000000" w:rsidR="00000000" w:rsidRPr="00000000">
        <w:rPr>
          <w:rtl w:val="0"/>
        </w:rPr>
      </w:r>
    </w:p>
    <w:p w:rsidR="00000000" w:rsidDel="00000000" w:rsidP="00000000" w:rsidRDefault="00000000" w:rsidRPr="00000000" w14:paraId="0000006D">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Al terminar un proyecto o una sección, el siguiente contenido continúa inmediatamente debajo; no se requieren botones de “anterior”, “siguiente” ni “volver”.</w:t>
      </w:r>
      <w:r w:rsidDel="00000000" w:rsidR="00000000" w:rsidRPr="00000000">
        <w:rPr>
          <w:rtl w:val="0"/>
        </w:rPr>
      </w:r>
    </w:p>
    <w:p w:rsidR="00000000" w:rsidDel="00000000" w:rsidP="00000000" w:rsidRDefault="00000000" w:rsidRPr="00000000" w14:paraId="0000006E">
      <w:pPr>
        <w:spacing w:after="140" w:lineRule="auto"/>
        <w:rPr>
          <w:rFonts w:ascii="Lexend Light" w:cs="Lexend Light" w:eastAsia="Lexend Light" w:hAnsi="Lexend Light"/>
          <w:sz w:val="22"/>
          <w:szCs w:val="22"/>
        </w:rPr>
      </w:pPr>
      <w:r>
        <w:t>Los textos se mantienen en bloques breves y se intercalan con imágenes y video. Entre Brand y Motion aparecen la declaración “Creo para comunicar, experimentar y hacer visible una idea” y el menú editorial “Lo que hago”, con accesos a Brand, Motion e Illustration. Antes de Contact aparece además una franja tipográfica animada con las frases “Make it bold”, “Make it move” y “Make it yours”.</w:t>
      </w:r>
    </w:p>
    <w:p w:rsidR="00000000" w:rsidDel="00000000" w:rsidP="00000000" w:rsidRDefault="00000000" w:rsidRPr="00000000" w14:paraId="0000006F">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8 · Comportamiento de imágenes y video</w:t>
      </w:r>
      <w:r w:rsidDel="00000000" w:rsidR="00000000" w:rsidRPr="00000000">
        <w:rPr>
          <w:rtl w:val="0"/>
        </w:rPr>
      </w:r>
    </w:p>
    <w:p w:rsidR="00000000" w:rsidDel="00000000" w:rsidP="00000000" w:rsidRDefault="00000000" w:rsidRPr="00000000" w14:paraId="00000070">
      <w:pPr>
        <w:spacing w:after="140" w:lineRule="auto"/>
        <w:rPr>
          <w:rFonts w:ascii="Lexend Light" w:cs="Lexend Light" w:eastAsia="Lexend Light" w:hAnsi="Lexend Light"/>
          <w:sz w:val="22"/>
          <w:szCs w:val="22"/>
        </w:rPr>
      </w:pPr>
      <w:r>
        <w:t>Las fotografías y los videos son el contenido principal de los proyectos. La página reserva espacios amplios para galerías, piezas finales y videos, y reorganiza estos elementos según el tamaño de pantalla.</w:t>
      </w:r>
    </w:p>
    <w:p w:rsidR="00000000" w:rsidDel="00000000" w:rsidP="00000000" w:rsidRDefault="00000000" w:rsidRPr="00000000" w14:paraId="00000071">
      <w:pPr>
        <w:spacing w:after="70" w:lineRule="auto"/>
        <w:ind w:left="280" w:hanging="160"/>
        <w:rPr>
          <w:rFonts w:ascii="Lexend Light" w:cs="Lexend Light" w:eastAsia="Lexend Light" w:hAnsi="Lexend Light"/>
          <w:sz w:val="22"/>
          <w:szCs w:val="22"/>
        </w:rPr>
      </w:pPr>
      <w:r>
        <w:t>• Las imágenes conservan buena resolución, una proporción consistente y suficiente espacio alrededor.</w:t>
      </w:r>
    </w:p>
    <w:p w:rsidR="00000000" w:rsidDel="00000000" w:rsidP="00000000" w:rsidRDefault="00000000" w:rsidRPr="00000000" w14:paraId="00000072">
      <w:pPr>
        <w:spacing w:after="70" w:lineRule="auto"/>
        <w:ind w:left="280" w:hanging="160"/>
        <w:rPr>
          <w:rFonts w:ascii="Lexend Light" w:cs="Lexend Light" w:eastAsia="Lexend Light" w:hAnsi="Lexend Light"/>
          <w:sz w:val="22"/>
          <w:szCs w:val="22"/>
        </w:rPr>
      </w:pPr>
      <w:r>
        <w:t>• Los dos videos de Motion incluyen controles visibles, están silenciados por defecto y pueden reproducirse en loop.</w:t>
      </w:r>
    </w:p>
    <w:p w:rsidR="00000000" w:rsidDel="00000000" w:rsidP="00000000" w:rsidRDefault="00000000" w:rsidRPr="00000000" w14:paraId="00000074">
      <w:pPr>
        <w:spacing w:after="70" w:lineRule="auto"/>
        <w:ind w:left="280" w:hanging="160"/>
        <w:rPr>
          <w:rFonts w:ascii="Lexend Light" w:cs="Lexend Light" w:eastAsia="Lexend Light" w:hAnsi="Lexend Light"/>
          <w:sz w:val="22"/>
          <w:szCs w:val="22"/>
        </w:rPr>
      </w:pPr>
      <w:r>
        <w:t>• En móvil, las galerías pasan a dos o una columna según la sección; los proyectos de Motion se apilan y los videos mantienen el ancho disponible sin invadir otras secciones.</w:t>
      </w:r>
    </w:p>
    <w:p w:rsidR="00000000" w:rsidDel="00000000" w:rsidP="00000000" w:rsidRDefault="00000000" w:rsidRPr="00000000" w14:paraId="00000075">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 No deben reproducirse varios videos con audio ni utilizarse efectos que distraigan del contenido.</w:t>
      </w:r>
      <w:r w:rsidDel="00000000" w:rsidR="00000000" w:rsidRPr="00000000">
        <w:rPr>
          <w:rtl w:val="0"/>
        </w:rPr>
      </w:r>
    </w:p>
    <w:p w:rsidR="00000000" w:rsidDel="00000000" w:rsidP="00000000" w:rsidRDefault="00000000" w:rsidRPr="00000000" w14:paraId="00000076">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La combinación de fotos, videos, texto y espacios vacíos debe producir una lectura editorial: cada sección presenta una idea visual dominante y después deja espacio suficiente antes de la siguiente.</w:t>
      </w:r>
      <w:r w:rsidDel="00000000" w:rsidR="00000000" w:rsidRPr="00000000">
        <w:rPr>
          <w:rtl w:val="0"/>
        </w:rPr>
      </w:r>
    </w:p>
    <w:p w:rsidR="00000000" w:rsidDel="00000000" w:rsidP="00000000" w:rsidRDefault="00000000" w:rsidRPr="00000000" w14:paraId="00000077">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9 · Contact</w:t>
      </w:r>
      <w:r w:rsidDel="00000000" w:rsidR="00000000" w:rsidRPr="00000000">
        <w:rPr>
          <w:rtl w:val="0"/>
        </w:rPr>
      </w:r>
    </w:p>
    <w:p w:rsidR="00000000" w:rsidDel="00000000" w:rsidP="00000000" w:rsidRDefault="00000000" w:rsidRPr="00000000" w14:paraId="00000078">
      <w:pPr>
        <w:spacing w:after="1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La última sección funciona como cierre y llamada a la acción. Debe permitir que un reclutador o cliente encuentre mis datos de contacto sin tener que buscar en otra página. Incluye un mensaje breve de disponibilidad o invitación a colaborar y enlaces directos a mis canales profesionales.</w:t>
      </w:r>
      <w:r w:rsidDel="00000000" w:rsidR="00000000" w:rsidRPr="00000000">
        <w:rPr>
          <w:rtl w:val="0"/>
        </w:rPr>
      </w:r>
    </w:p>
    <w:p w:rsidR="00000000" w:rsidDel="00000000" w:rsidP="00000000" w:rsidRDefault="00000000" w:rsidRPr="00000000" w14:paraId="00000079">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e7562e"/>
          <w:sz w:val="22"/>
          <w:szCs w:val="22"/>
          <w:rtl w:val="0"/>
        </w:rPr>
        <w:t xml:space="preserve">Datos y acciones</w:t>
      </w:r>
      <w:r w:rsidDel="00000000" w:rsidR="00000000" w:rsidRPr="00000000">
        <w:rPr>
          <w:rtl w:val="0"/>
        </w:rPr>
      </w:r>
    </w:p>
    <w:p w:rsidR="00000000" w:rsidDel="00000000" w:rsidP="00000000" w:rsidRDefault="00000000" w:rsidRPr="00000000" w14:paraId="0000007A">
      <w:pPr>
        <w:spacing w:after="80" w:before="20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 Mensaje breve de contacto o disponibilidad: </w:t>
      </w:r>
      <w:r w:rsidDel="00000000" w:rsidR="00000000" w:rsidRPr="00000000">
        <w:rPr>
          <w:rFonts w:ascii="Lexend Light" w:cs="Lexend Light" w:eastAsia="Lexend Light" w:hAnsi="Lexend Light"/>
          <w:sz w:val="24"/>
          <w:szCs w:val="24"/>
          <w:rtl w:val="0"/>
        </w:rPr>
        <w:t xml:space="preserve">Estoy abierta a nuevas oportunidades y colaboraciones. Si te interesa trabajar conmigo o conocer más sobre mi trabajo, escríbeme.</w:t>
      </w:r>
      <w:r w:rsidDel="00000000" w:rsidR="00000000" w:rsidRPr="00000000">
        <w:rPr>
          <w:rtl w:val="0"/>
        </w:rPr>
      </w:r>
    </w:p>
    <w:p w:rsidR="00000000" w:rsidDel="00000000" w:rsidP="00000000" w:rsidRDefault="00000000" w:rsidRPr="00000000" w14:paraId="0000007B">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 Correo profesional: </w:t>
      </w:r>
      <w:r w:rsidDel="00000000" w:rsidR="00000000" w:rsidRPr="00000000">
        <w:rPr>
          <w:rFonts w:ascii="Roboto" w:cs="Roboto" w:eastAsia="Roboto" w:hAnsi="Roboto"/>
          <w:color w:val="444746"/>
          <w:sz w:val="21"/>
          <w:szCs w:val="21"/>
          <w:shd w:fill="f0f4f9" w:val="clear"/>
          <w:rtl w:val="0"/>
        </w:rPr>
        <w:t xml:space="preserve">garciasantiagom156@gmail.com</w:t>
      </w:r>
      <w:r w:rsidDel="00000000" w:rsidR="00000000" w:rsidRPr="00000000">
        <w:rPr>
          <w:rtl w:val="0"/>
        </w:rPr>
      </w:r>
    </w:p>
    <w:p w:rsidR="00000000" w:rsidDel="00000000" w:rsidP="00000000" w:rsidRDefault="00000000" w:rsidRPr="00000000" w14:paraId="0000007C">
      <w:pPr>
        <w:spacing w:after="70" w:lineRule="auto"/>
        <w:ind w:left="280" w:hanging="160"/>
        <w:rPr>
          <w:rFonts w:ascii="Lexend Light" w:cs="Lexend Light" w:eastAsia="Lexend Light" w:hAnsi="Lexend Light"/>
          <w:sz w:val="22"/>
          <w:szCs w:val="22"/>
        </w:rPr>
      </w:pPr>
      <w:r w:rsidDel="00000000" w:rsidR="00000000" w:rsidRPr="00000000">
        <w:rPr>
          <w:rFonts w:ascii="Lexend Light" w:cs="Lexend Light" w:eastAsia="Lexend Light" w:hAnsi="Lexend Light"/>
          <w:sz w:val="22"/>
          <w:szCs w:val="22"/>
          <w:rtl w:val="0"/>
        </w:rPr>
        <w:t xml:space="preserve">• LinkedIn: </w:t>
      </w:r>
      <w:r w:rsidDel="00000000" w:rsidR="00000000" w:rsidRPr="00000000">
        <w:rPr>
          <w:rFonts w:ascii="Roboto" w:cs="Roboto" w:eastAsia="Roboto" w:hAnsi="Roboto"/>
          <w:sz w:val="21"/>
          <w:szCs w:val="21"/>
          <w:shd w:fill="f4f2ee" w:val="clear"/>
          <w:rtl w:val="0"/>
        </w:rPr>
        <w:t xml:space="preserve">https://www.linkedin.com/in/maría-guadalupe-garcia-16b72430a </w:t>
      </w:r>
      <w:r w:rsidDel="00000000" w:rsidR="00000000" w:rsidRPr="00000000">
        <w:rPr>
          <w:rtl w:val="0"/>
        </w:rPr>
      </w:r>
    </w:p>
    <w:p w:rsidR="00000000" w:rsidDel="00000000" w:rsidP="00000000" w:rsidRDefault="00000000" w:rsidRPr="00000000" w14:paraId="0000007D">
      <w:pPr>
        <w:spacing w:after="70" w:lineRule="auto"/>
        <w:ind w:left="280" w:hanging="160"/>
        <w:rPr>
          <w:rFonts w:ascii="Lexend Light" w:cs="Lexend Light" w:eastAsia="Lexend Light" w:hAnsi="Lexend Light"/>
          <w:sz w:val="22"/>
          <w:szCs w:val="22"/>
        </w:rPr>
      </w:pPr>
      <w:r>
        <w:t>• Instagram: https://www.instagram.com/luluu_garz/</w:t>
      </w:r>
    </w:p>
    <w:p w:rsidR="00000000" w:rsidDel="00000000" w:rsidP="00000000" w:rsidRDefault="00000000" w:rsidRPr="00000000" w14:paraId="0000007D">
      <w:pPr>
        <w:spacing w:after="70" w:lineRule="auto"/>
        <w:ind w:left="280" w:hanging="160"/>
        <w:rPr>
          <w:rFonts w:ascii="Lexend Light" w:cs="Lexend Light" w:eastAsia="Lexend Light" w:hAnsi="Lexend Light"/>
          <w:sz w:val="22"/>
          <w:szCs w:val="22"/>
        </w:rPr>
      </w:pPr>
      <w:r>
        <w:t>• Behance: https://www.behance.net/mariaggarcia12</w:t>
      </w:r>
    </w:p>
    <w:p w:rsidR="00000000" w:rsidDel="00000000" w:rsidP="00000000" w:rsidRDefault="00000000" w:rsidRPr="00000000" w14:paraId="0000007E">
      <w:pPr>
        <w:spacing w:after="140" w:lineRule="auto"/>
        <w:rPr>
          <w:rFonts w:ascii="Lexend Light" w:cs="Lexend Light" w:eastAsia="Lexend Light" w:hAnsi="Lexend Light"/>
          <w:sz w:val="22"/>
          <w:szCs w:val="22"/>
        </w:rPr>
      </w:pPr>
      <w:r>
        <w:t>La sección no utiliza formulario. Presenta una ilustración personal, el título “Contacto”, el mensaje de disponibilidad y cuatro botones circulares con enlaces directos a correo, LinkedIn, Instagram y Behance.</w:t>
      </w:r>
    </w:p>
    <w:p w:rsidR="00000000" w:rsidDel="00000000" w:rsidP="00000000" w:rsidRDefault="00000000" w:rsidRPr="00000000" w14:paraId="0000007F">
      <w:pPr>
        <w:spacing w:after="120" w:before="340" w:lineRule="auto"/>
        <w:rPr>
          <w:rFonts w:ascii="Lexend Light" w:cs="Lexend Light" w:eastAsia="Lexend Light" w:hAnsi="Lexend Light"/>
          <w:sz w:val="22"/>
          <w:szCs w:val="22"/>
        </w:rPr>
      </w:pPr>
      <w:r w:rsidDel="00000000" w:rsidR="00000000" w:rsidRPr="00000000">
        <w:rPr>
          <w:rFonts w:ascii="Lexend Light" w:cs="Lexend Light" w:eastAsia="Lexend Light" w:hAnsi="Lexend Light"/>
          <w:color w:val="202225"/>
          <w:sz w:val="22"/>
          <w:szCs w:val="22"/>
          <w:rtl w:val="0"/>
        </w:rPr>
        <w:t xml:space="preserve">10 · Pie de página</w:t>
      </w:r>
      <w:r w:rsidDel="00000000" w:rsidR="00000000" w:rsidRPr="00000000">
        <w:rPr>
          <w:rtl w:val="0"/>
        </w:rPr>
      </w:r>
    </w:p>
    <w:p w:rsidR="00000000" w:rsidDel="00000000" w:rsidP="00000000" w:rsidRDefault="00000000" w:rsidRPr="00000000" w14:paraId="00000080">
      <w:pPr>
        <w:spacing w:after="140" w:lineRule="auto"/>
        <w:rPr>
          <w:rFonts w:ascii="Lexend Light" w:cs="Lexend Light" w:eastAsia="Lexend Light" w:hAnsi="Lexend Light"/>
          <w:sz w:val="22"/>
          <w:szCs w:val="22"/>
        </w:rPr>
      </w:pPr>
      <w:r>
        <w:t>El pie de página es mínimo y no compite con Contact. Incluye el nombre “Luu García” como enlace al inicio, los seis enlaces de navegación, el isotipo y la leyenda “© 2026 Luu García”. Los accesos profesionales permanecen únicamente en Contact.</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Lexend Light">
    <w:embedRegular w:fontKey="{00000000-0000-0000-0000-000000000000}" r:id="rId1" w:subsetted="0"/>
    <w:embedBold w:fontKey="{00000000-0000-0000-0000-000000000000}" r:id="rId2" w:subsetted="0"/>
  </w:font>
  <w:font w:name="Robo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Lexend">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instagram.com/luluu_garz/"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Light-regular.ttf"/><Relationship Id="rId2" Type="http://schemas.openxmlformats.org/officeDocument/2006/relationships/font" Target="fonts/LexendLight-bold.ttf"/><Relationship Id="rId3" Type="http://schemas.openxmlformats.org/officeDocument/2006/relationships/font" Target="fonts/Roboto-regular.ttf"/><Relationship Id="rId4" Type="http://schemas.openxmlformats.org/officeDocument/2006/relationships/font" Target="fonts/Roboto-bold.ttf"/><Relationship Id="rId5" Type="http://schemas.openxmlformats.org/officeDocument/2006/relationships/font" Target="fonts/Roboto-italic.ttf"/><Relationship Id="rId6" Type="http://schemas.openxmlformats.org/officeDocument/2006/relationships/font" Target="fonts/Roboto-boldItalic.ttf"/><Relationship Id="rId7" Type="http://schemas.openxmlformats.org/officeDocument/2006/relationships/font" Target="fonts/Lexend-regular.ttf"/><Relationship Id="rId8" Type="http://schemas.openxmlformats.org/officeDocument/2006/relationships/font" Target="fonts/Lexen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Mi Portafolio Digital — Arquitectura final</dc:title>
  <cp:lastModifiedBy>python-docx</cp:lastModifiedBy>
  <cp:revision>1</cp:revision>
  <dcterms:modified xsi:type="dcterms:W3CDTF">2026-08-24T21:27:54Z</dcterms:modified>
  <dc:subject>Arquitectura de información alineada con CV.md y el portafolio publicado</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0x010100AA177E26F5B13B4FACA7BBF95EDE9788</vt:lpwstr>
  </property>
</Properties>
</file>