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2C3E50"/>
          <w:sz w:val="44"/>
        </w:rPr>
        <w:t>老年衰弱智能评估系统</w:t>
      </w:r>
    </w:p>
    <w:p>
      <w:pPr>
        <w:pStyle w:val="Heading1"/>
        <w:jc w:val="center"/>
      </w:pPr>
      <w:r>
        <w:rPr>
          <w:rFonts w:ascii="黑体" w:hAnsi="黑体" w:eastAsia="黑体"/>
          <w:b/>
          <w:color w:val="2C3E50"/>
          <w:sz w:val="32"/>
        </w:rPr>
        <w:t>RAG知识库文献汇编</w:t>
      </w:r>
    </w:p>
    <w:p/>
    <w:p>
      <w:pPr>
        <w:jc w:val="center"/>
      </w:pPr>
      <w:r>
        <w:rPr>
          <w:rFonts w:ascii="楷体" w:hAnsi="楷体" w:eastAsia="楷体"/>
          <w:b w:val="0"/>
          <w:color w:val="7F8C8D"/>
          <w:sz w:val="24"/>
        </w:rPr>
        <w:t>—— 系统知识库来源文献完整清单 ——</w:t>
      </w:r>
    </w:p>
    <w:p/>
    <w:p>
      <w:pPr>
        <w:jc w:val="center"/>
      </w:pPr>
      <w:r>
        <w:rPr>
          <w:rFonts w:ascii="宋体" w:hAnsi="宋体" w:eastAsia="宋体"/>
          <w:b w:val="0"/>
          <w:color w:val="95A5A6"/>
          <w:sz w:val="20"/>
        </w:rPr>
        <w:t>收录文献：30+篇  |  涵盖领域：指南、共识、RCT、综述、工具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目录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一、Fried衰弱表型标准详解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二、Fried标准鉴别诊断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三、其他衰弱评估工具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四、衰弱与常见疾病鉴别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五、衰弱患者营养干预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六、衰弱患者运动干预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七、衰弱患者药物管理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八、衰弱患者跌倒预防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九、认知与心理支持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十、随访管理与转诊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十一、预后与逆转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十二、特殊人群评估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十三、国际核心文献（原始研究）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十四、中国指南与专家共识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十五、干预与康复RCT研究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十六、衰弱与特定疾病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十七、评估工具详解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十八、公共卫生与流行病学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十九、附录：参考值速查表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二十、附录：干预方案速查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一、Fried衰弱表型标准详解</w:t>
      </w:r>
    </w:p>
    <w:p>
      <w:r>
        <w:rPr>
          <w:rFonts w:ascii="宋体" w:hAnsi="宋体" w:eastAsia="宋体"/>
          <w:b/>
          <w:sz w:val="22"/>
        </w:rPr>
        <w:t>Fried衰弱表型标准是目前国际上最常用的衰弱评估工具之一，包含5项指标，满足≥3项为"衰弱"，1-2项为"衰弱前期"，0项为"非衰弱"。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1.1 不明原因体重下降</w:t>
      </w:r>
    </w:p>
    <w:p>
      <w:r>
        <w:rPr>
          <w:rFonts w:ascii="宋体" w:hAnsi="宋体" w:eastAsia="宋体"/>
          <w:b w:val="0"/>
          <w:sz w:val="22"/>
        </w:rPr>
        <w:t>定义：过去1年内体重下降≥5%，或≥4.5kg（10磅）。</w:t>
      </w:r>
    </w:p>
    <w:p>
      <w:r>
        <w:rPr>
          <w:rFonts w:ascii="宋体" w:hAnsi="宋体" w:eastAsia="宋体"/>
          <w:b w:val="0"/>
          <w:sz w:val="22"/>
        </w:rPr>
        <w:t>关键要点：必须是"不明原因"的体重下降。</w:t>
      </w:r>
    </w:p>
    <w:p>
      <w:r>
        <w:rPr>
          <w:rFonts w:ascii="宋体" w:hAnsi="宋体" w:eastAsia="宋体"/>
          <w:b w:val="0"/>
          <w:sz w:val="22"/>
        </w:rPr>
        <w:t>排除情况：主动节食、糖尿病治疗、甲状腺功能亢进治疗、肿瘤化疗等导致的体重下降不算。</w:t>
      </w:r>
    </w:p>
    <w:p>
      <w:r>
        <w:rPr>
          <w:rFonts w:ascii="宋体" w:hAnsi="宋体" w:eastAsia="宋体"/>
          <w:b w:val="0"/>
          <w:sz w:val="22"/>
        </w:rPr>
        <w:t>临床询问："您最近一年体重有没有明显下降？大概下降了多少？"</w:t>
      </w:r>
    </w:p>
    <w:p>
      <w:r>
        <w:rPr>
          <w:rFonts w:ascii="宋体" w:hAnsi="宋体" w:eastAsia="宋体"/>
          <w:b w:val="0"/>
          <w:sz w:val="22"/>
        </w:rPr>
        <w:t>病历记录关键词：体重下降、消瘦、体重减轻、体重降低。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1.2 疲乏/精力减退</w:t>
      </w:r>
    </w:p>
    <w:p>
      <w:r>
        <w:rPr>
          <w:rFonts w:ascii="宋体" w:hAnsi="宋体" w:eastAsia="宋体"/>
          <w:b w:val="0"/>
          <w:sz w:val="22"/>
        </w:rPr>
        <w:t>定义：自我报告感到疲乏无力，精力不足。</w:t>
      </w:r>
    </w:p>
    <w:p>
      <w:r>
        <w:rPr>
          <w:rFonts w:ascii="宋体" w:hAnsi="宋体" w:eastAsia="宋体"/>
          <w:b w:val="0"/>
          <w:sz w:val="22"/>
        </w:rPr>
        <w:t>常用评估工具：CES-D抑郁量表中的2个问题（"我感到做任何事都很费力"、"我觉得我无法继续我的生活"）。</w:t>
      </w:r>
    </w:p>
    <w:p>
      <w:r>
        <w:rPr>
          <w:rFonts w:ascii="宋体" w:hAnsi="宋体" w:eastAsia="宋体"/>
          <w:b w:val="0"/>
          <w:sz w:val="22"/>
        </w:rPr>
        <w:t>关键要点：排除急性疾病（如急性感染）导致的暂时性疲乏。</w:t>
      </w:r>
    </w:p>
    <w:p>
      <w:r>
        <w:rPr>
          <w:rFonts w:ascii="宋体" w:hAnsi="宋体" w:eastAsia="宋体"/>
          <w:b w:val="0"/>
          <w:sz w:val="22"/>
        </w:rPr>
        <w:t>临床询问："您是否经常感到疲乏无力，即使休息后也无法恢复？"</w:t>
      </w:r>
    </w:p>
    <w:p>
      <w:r>
        <w:rPr>
          <w:rFonts w:ascii="宋体" w:hAnsi="宋体" w:eastAsia="宋体"/>
          <w:b w:val="0"/>
          <w:sz w:val="22"/>
        </w:rPr>
        <w:t>病历记录关键词：疲乏、乏力、无力、没精神、精力减退、疲惫、倦怠。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1.3 握力下降</w:t>
      </w:r>
    </w:p>
    <w:p>
      <w:r>
        <w:rPr>
          <w:rFonts w:ascii="宋体" w:hAnsi="宋体" w:eastAsia="宋体"/>
          <w:b w:val="0"/>
          <w:sz w:val="22"/>
        </w:rPr>
        <w:t>定义：使用握力计测量，握力低于同性别、同BMI分位的正常参考值。</w:t>
      </w:r>
    </w:p>
    <w:p>
      <w:r>
        <w:rPr>
          <w:rFonts w:ascii="宋体" w:hAnsi="宋体" w:eastAsia="宋体"/>
          <w:b w:val="0"/>
          <w:sz w:val="22"/>
        </w:rPr>
        <w:t>正常参考值（男性）：</w:t>
      </w:r>
    </w:p>
    <w:p>
      <w:r>
        <w:rPr>
          <w:rFonts w:ascii="宋体" w:hAnsi="宋体" w:eastAsia="宋体"/>
          <w:b w:val="0"/>
          <w:sz w:val="22"/>
        </w:rPr>
        <w:t xml:space="preserve">  BMI ≤24：握力≤29kg</w:t>
      </w:r>
    </w:p>
    <w:p>
      <w:r>
        <w:rPr>
          <w:rFonts w:ascii="宋体" w:hAnsi="宋体" w:eastAsia="宋体"/>
          <w:b w:val="0"/>
          <w:sz w:val="22"/>
        </w:rPr>
        <w:t xml:space="preserve">  BMI 24.1-28：握力≤30kg</w:t>
      </w:r>
    </w:p>
    <w:p>
      <w:r>
        <w:rPr>
          <w:rFonts w:ascii="宋体" w:hAnsi="宋体" w:eastAsia="宋体"/>
          <w:b w:val="0"/>
          <w:sz w:val="22"/>
        </w:rPr>
        <w:t xml:space="preserve">  BMI &gt;28：握力≤32kg</w:t>
      </w:r>
    </w:p>
    <w:p>
      <w:r>
        <w:rPr>
          <w:rFonts w:ascii="宋体" w:hAnsi="宋体" w:eastAsia="宋体"/>
          <w:b w:val="0"/>
          <w:sz w:val="22"/>
        </w:rPr>
        <w:t>正常参考值（女性）：</w:t>
      </w:r>
    </w:p>
    <w:p>
      <w:r>
        <w:rPr>
          <w:rFonts w:ascii="宋体" w:hAnsi="宋体" w:eastAsia="宋体"/>
          <w:b w:val="0"/>
          <w:sz w:val="22"/>
        </w:rPr>
        <w:t xml:space="preserve">  BMI ≤23：握力≤17kg</w:t>
      </w:r>
    </w:p>
    <w:p>
      <w:r>
        <w:rPr>
          <w:rFonts w:ascii="宋体" w:hAnsi="宋体" w:eastAsia="宋体"/>
          <w:b w:val="0"/>
          <w:sz w:val="22"/>
        </w:rPr>
        <w:t xml:space="preserve">  BMI 23.1-26：握力≤17.3kg</w:t>
      </w:r>
    </w:p>
    <w:p>
      <w:r>
        <w:rPr>
          <w:rFonts w:ascii="宋体" w:hAnsi="宋体" w:eastAsia="宋体"/>
          <w:b w:val="0"/>
          <w:sz w:val="22"/>
        </w:rPr>
        <w:t xml:space="preserve">  BMI 26.1-29：握力≤18kg</w:t>
      </w:r>
    </w:p>
    <w:p>
      <w:r>
        <w:rPr>
          <w:rFonts w:ascii="宋体" w:hAnsi="宋体" w:eastAsia="宋体"/>
          <w:b w:val="0"/>
          <w:sz w:val="22"/>
        </w:rPr>
        <w:t xml:space="preserve">  BMI &gt;29：握力≤21kg</w:t>
      </w:r>
    </w:p>
    <w:p>
      <w:r>
        <w:rPr>
          <w:rFonts w:ascii="宋体" w:hAnsi="宋体" w:eastAsia="宋体"/>
          <w:b w:val="0"/>
          <w:sz w:val="22"/>
        </w:rPr>
        <w:t>测量方法：使用Jamar握力计，站立位，手臂自然下垂，用力握3次，取最大值。</w:t>
      </w:r>
    </w:p>
    <w:p>
      <w:r>
        <w:rPr>
          <w:rFonts w:ascii="宋体" w:hAnsi="宋体" w:eastAsia="宋体"/>
          <w:b w:val="0"/>
          <w:sz w:val="22"/>
        </w:rPr>
        <w:t>关键要点：排除手部疾病（如关节炎、腕管综合征、脑卒中后偏瘫）导致的握力下降。</w:t>
      </w:r>
    </w:p>
    <w:p>
      <w:r>
        <w:rPr>
          <w:rFonts w:ascii="宋体" w:hAnsi="宋体" w:eastAsia="宋体"/>
          <w:b w:val="0"/>
          <w:sz w:val="22"/>
        </w:rPr>
        <w:t>病历记录关键词：握力、手力、抓握。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1.4 步速减慢</w:t>
      </w:r>
    </w:p>
    <w:p>
      <w:r>
        <w:rPr>
          <w:rFonts w:ascii="宋体" w:hAnsi="宋体" w:eastAsia="宋体"/>
          <w:b w:val="0"/>
          <w:sz w:val="22"/>
        </w:rPr>
        <w:t>定义：行走4.57米（15英尺）时间延长，超过同性别、同身高分位的正常参考值。</w:t>
      </w:r>
    </w:p>
    <w:p>
      <w:r>
        <w:rPr>
          <w:rFonts w:ascii="宋体" w:hAnsi="宋体" w:eastAsia="宋体"/>
          <w:b w:val="0"/>
          <w:sz w:val="22"/>
        </w:rPr>
        <w:t>正常参考值（男性）：</w:t>
      </w:r>
    </w:p>
    <w:p>
      <w:r>
        <w:rPr>
          <w:rFonts w:ascii="宋体" w:hAnsi="宋体" w:eastAsia="宋体"/>
          <w:b w:val="0"/>
          <w:sz w:val="22"/>
        </w:rPr>
        <w:t xml:space="preserve">  身高≤173cm：步速&gt;0.65m/s</w:t>
      </w:r>
    </w:p>
    <w:p>
      <w:r>
        <w:rPr>
          <w:rFonts w:ascii="宋体" w:hAnsi="宋体" w:eastAsia="宋体"/>
          <w:b w:val="0"/>
          <w:sz w:val="22"/>
        </w:rPr>
        <w:t xml:space="preserve">  身高&gt;173cm：步速&gt;0.76m/s</w:t>
      </w:r>
    </w:p>
    <w:p>
      <w:r>
        <w:rPr>
          <w:rFonts w:ascii="宋体" w:hAnsi="宋体" w:eastAsia="宋体"/>
          <w:b w:val="0"/>
          <w:sz w:val="22"/>
        </w:rPr>
        <w:t>正常参考值（女性）：</w:t>
      </w:r>
    </w:p>
    <w:p>
      <w:r>
        <w:rPr>
          <w:rFonts w:ascii="宋体" w:hAnsi="宋体" w:eastAsia="宋体"/>
          <w:b w:val="0"/>
          <w:sz w:val="22"/>
        </w:rPr>
        <w:t xml:space="preserve">  身高≤159cm：步速&gt;0.65m/s</w:t>
      </w:r>
    </w:p>
    <w:p>
      <w:r>
        <w:rPr>
          <w:rFonts w:ascii="宋体" w:hAnsi="宋体" w:eastAsia="宋体"/>
          <w:b w:val="0"/>
          <w:sz w:val="22"/>
        </w:rPr>
        <w:t xml:space="preserve">  身高&gt;159cm：步速&gt;0.76m/s</w:t>
      </w:r>
    </w:p>
    <w:p>
      <w:r>
        <w:rPr>
          <w:rFonts w:ascii="宋体" w:hAnsi="宋体" w:eastAsia="宋体"/>
          <w:b w:val="0"/>
          <w:sz w:val="22"/>
        </w:rPr>
        <w:t>测量方法：标记4.57米距离，从静止开始行走，记录通过时间，计算速度。</w:t>
      </w:r>
    </w:p>
    <w:p>
      <w:r>
        <w:rPr>
          <w:rFonts w:ascii="宋体" w:hAnsi="宋体" w:eastAsia="宋体"/>
          <w:b w:val="0"/>
          <w:sz w:val="22"/>
        </w:rPr>
        <w:t>关键要点：排除急性疾病（如骨折、急性关节炎）导致的步速减慢。</w:t>
      </w:r>
    </w:p>
    <w:p>
      <w:r>
        <w:rPr>
          <w:rFonts w:ascii="宋体" w:hAnsi="宋体" w:eastAsia="宋体"/>
          <w:b w:val="0"/>
          <w:sz w:val="22"/>
        </w:rPr>
        <w:t>临床询问："您平时走路的速度有没有明显变慢？"</w:t>
      </w:r>
    </w:p>
    <w:p>
      <w:r>
        <w:rPr>
          <w:rFonts w:ascii="宋体" w:hAnsi="宋体" w:eastAsia="宋体"/>
          <w:b w:val="0"/>
          <w:sz w:val="22"/>
        </w:rPr>
        <w:t>病历记录关键词：步速、步态、行走缓慢、走路慢、步行速度。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1.5 活动量减少</w:t>
      </w:r>
    </w:p>
    <w:p>
      <w:r>
        <w:rPr>
          <w:rFonts w:ascii="宋体" w:hAnsi="宋体" w:eastAsia="宋体"/>
          <w:b w:val="0"/>
          <w:sz w:val="22"/>
        </w:rPr>
        <w:t>定义：每周消耗的热量低于标准值。</w:t>
      </w:r>
    </w:p>
    <w:p>
      <w:r>
        <w:rPr>
          <w:rFonts w:ascii="宋体" w:hAnsi="宋体" w:eastAsia="宋体"/>
          <w:b w:val="0"/>
          <w:sz w:val="22"/>
        </w:rPr>
        <w:t>男性标准：每周消耗热量&lt;383kcal（约相当于每周散步&lt;2.5小时）</w:t>
      </w:r>
    </w:p>
    <w:p>
      <w:r>
        <w:rPr>
          <w:rFonts w:ascii="宋体" w:hAnsi="宋体" w:eastAsia="宋体"/>
          <w:b w:val="0"/>
          <w:sz w:val="22"/>
        </w:rPr>
        <w:t>女性标准：每周消耗热量&lt;270kcal（约相当于每周散步&lt;2小时）</w:t>
      </w:r>
    </w:p>
    <w:p>
      <w:r>
        <w:rPr>
          <w:rFonts w:ascii="宋体" w:hAnsi="宋体" w:eastAsia="宋体"/>
          <w:b w:val="0"/>
          <w:sz w:val="22"/>
        </w:rPr>
        <w:t>常用评估工具：明尼苏达休闲时间活动问卷（MLTAQ）。</w:t>
      </w:r>
    </w:p>
    <w:p>
      <w:r>
        <w:rPr>
          <w:rFonts w:ascii="宋体" w:hAnsi="宋体" w:eastAsia="宋体"/>
          <w:b w:val="0"/>
          <w:sz w:val="22"/>
        </w:rPr>
        <w:t>关键要点：排除急性疾病或外伤导致的暂时性活动减少。</w:t>
      </w:r>
    </w:p>
    <w:p>
      <w:r>
        <w:rPr>
          <w:rFonts w:ascii="宋体" w:hAnsi="宋体" w:eastAsia="宋体"/>
          <w:b w:val="0"/>
          <w:sz w:val="22"/>
        </w:rPr>
        <w:t>排除情况：骨折后卧床、急性心梗后限制活动、术后恢复期等不算。</w:t>
      </w:r>
    </w:p>
    <w:p>
      <w:r>
        <w:rPr>
          <w:rFonts w:ascii="宋体" w:hAnsi="宋体" w:eastAsia="宋体"/>
          <w:b w:val="0"/>
          <w:sz w:val="22"/>
        </w:rPr>
        <w:t>临床询问："您最近半年的活动量有没有明显减少？"</w:t>
      </w:r>
    </w:p>
    <w:p>
      <w:r>
        <w:rPr>
          <w:rFonts w:ascii="宋体" w:hAnsi="宋体" w:eastAsia="宋体"/>
          <w:b w:val="0"/>
          <w:sz w:val="22"/>
        </w:rPr>
        <w:t>病历记录关键词：活动量、活动减少、卧床、不愿活动、运动减少。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二、Fried标准鉴别诊断：什么算衰弱，什么不算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2.1 应判定为衰弱的情况</w:t>
      </w:r>
    </w:p>
    <w:p>
      <w:r>
        <w:rPr>
          <w:rFonts w:ascii="宋体" w:hAnsi="宋体" w:eastAsia="宋体"/>
          <w:b w:val="0"/>
          <w:sz w:val="22"/>
        </w:rPr>
        <w:t>• 无明确病因的体重下降 + 疲乏 + 握力下降 + 步速减慢 + 活动量减少（满足≥3项）</w:t>
      </w:r>
    </w:p>
    <w:p>
      <w:r>
        <w:rPr>
          <w:rFonts w:ascii="宋体" w:hAnsi="宋体" w:eastAsia="宋体"/>
          <w:b w:val="0"/>
          <w:sz w:val="22"/>
        </w:rPr>
        <w:t>• 慢性病稳定期出现的多系统功能储备下降</w:t>
      </w:r>
    </w:p>
    <w:p>
      <w:r>
        <w:rPr>
          <w:rFonts w:ascii="宋体" w:hAnsi="宋体" w:eastAsia="宋体"/>
          <w:b w:val="0"/>
          <w:sz w:val="22"/>
        </w:rPr>
        <w:t>• 年龄相关生理性储备下降，无急性疾病诱因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2.2 不应判定为衰弱的情况</w:t>
      </w:r>
    </w:p>
    <w:p>
      <w:r>
        <w:rPr>
          <w:rFonts w:ascii="宋体" w:hAnsi="宋体" w:eastAsia="宋体"/>
          <w:b w:val="0"/>
          <w:sz w:val="22"/>
        </w:rPr>
        <w:t>• 卒中后肌力下降：这是脑血管疾病导致的局灶性神经功能缺损，不是Fried标准的"握力下降"</w:t>
      </w:r>
    </w:p>
    <w:p>
      <w:r>
        <w:rPr>
          <w:rFonts w:ascii="宋体" w:hAnsi="宋体" w:eastAsia="宋体"/>
          <w:b w:val="0"/>
          <w:sz w:val="22"/>
        </w:rPr>
        <w:t>• 骨折后卧床：这是外伤导致的暂时性活动受限，不是Fried标准的"活动量减少"</w:t>
      </w:r>
    </w:p>
    <w:p>
      <w:r>
        <w:rPr>
          <w:rFonts w:ascii="宋体" w:hAnsi="宋体" w:eastAsia="宋体"/>
          <w:b w:val="0"/>
          <w:sz w:val="22"/>
        </w:rPr>
        <w:t>• 术后恢复期：手术创伤导致的暂时性虚弱，恢复后可能改善</w:t>
      </w:r>
    </w:p>
    <w:p>
      <w:r>
        <w:rPr>
          <w:rFonts w:ascii="宋体" w:hAnsi="宋体" w:eastAsia="宋体"/>
          <w:b w:val="0"/>
          <w:sz w:val="22"/>
        </w:rPr>
        <w:t>• 急性感染期间：发热、感染导致的暂时性疲乏和体重下降</w:t>
      </w:r>
    </w:p>
    <w:p>
      <w:r>
        <w:rPr>
          <w:rFonts w:ascii="宋体" w:hAnsi="宋体" w:eastAsia="宋体"/>
          <w:b w:val="0"/>
          <w:sz w:val="22"/>
        </w:rPr>
        <w:t>• 帕金森病导致的步态异常：这是神经系统疾病，不是Fried标准的"步速减慢"</w:t>
      </w:r>
    </w:p>
    <w:p>
      <w:r>
        <w:rPr>
          <w:rFonts w:ascii="宋体" w:hAnsi="宋体" w:eastAsia="宋体"/>
          <w:b w:val="0"/>
          <w:sz w:val="22"/>
        </w:rPr>
        <w:t>• 重度骨关节炎导致的行走困难：这是关节疾病，不是Fried标准的"步速减慢"</w:t>
      </w:r>
    </w:p>
    <w:p>
      <w:r>
        <w:rPr>
          <w:rFonts w:ascii="宋体" w:hAnsi="宋体" w:eastAsia="宋体"/>
          <w:b w:val="0"/>
          <w:sz w:val="22"/>
        </w:rPr>
        <w:t>• 抑郁症导致的疲乏：这是精神疾病，需先治疗抑郁症再评估</w:t>
      </w:r>
    </w:p>
    <w:p>
      <w:r>
        <w:rPr>
          <w:rFonts w:ascii="宋体" w:hAnsi="宋体" w:eastAsia="宋体"/>
          <w:b w:val="0"/>
          <w:sz w:val="22"/>
        </w:rPr>
        <w:t>• 甲状腺功能减退导致的疲乏和体重增加：这是内分泌疾病，需先纠正甲减</w:t>
      </w:r>
    </w:p>
    <w:p>
      <w:r>
        <w:rPr>
          <w:rFonts w:ascii="宋体" w:hAnsi="宋体" w:eastAsia="宋体"/>
          <w:b w:val="0"/>
          <w:sz w:val="22"/>
        </w:rPr>
        <w:t>• 营养不良导致的体重下降：如果是因为进食困难、吞咽障碍等，应先解决营养问题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2.3 衰弱前期 vs 衰弱的鉴别</w:t>
      </w:r>
    </w:p>
    <w:p>
      <w:r>
        <w:rPr>
          <w:rFonts w:ascii="宋体" w:hAnsi="宋体" w:eastAsia="宋体"/>
          <w:b w:val="0"/>
          <w:sz w:val="22"/>
        </w:rPr>
        <w:t>衰弱前期：满足1-2项Fried指标，但日常生活能力基本正常。</w:t>
      </w:r>
    </w:p>
    <w:p>
      <w:r>
        <w:rPr>
          <w:rFonts w:ascii="宋体" w:hAnsi="宋体" w:eastAsia="宋体"/>
          <w:b w:val="0"/>
          <w:sz w:val="22"/>
        </w:rPr>
        <w:t>衰弱：满足≥3项Fried指标，日常生活能力可能受限。</w:t>
      </w:r>
    </w:p>
    <w:p>
      <w:r>
        <w:rPr>
          <w:rFonts w:ascii="宋体" w:hAnsi="宋体" w:eastAsia="宋体"/>
          <w:b w:val="0"/>
          <w:sz w:val="22"/>
        </w:rPr>
        <w:t>关键区别：衰弱前期是"有风险"，衰弱是"已发生"。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三、其他衰弱评估工具简介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3.1 FRAIL量表（快速筛查工具）</w:t>
      </w:r>
    </w:p>
    <w:p>
      <w:r>
        <w:rPr>
          <w:rFonts w:ascii="宋体" w:hAnsi="宋体" w:eastAsia="宋体"/>
          <w:b w:val="0"/>
          <w:sz w:val="22"/>
        </w:rPr>
        <w:t>5个问题，每个回答"是"得1分。</w:t>
      </w:r>
    </w:p>
    <w:p>
      <w:r>
        <w:rPr>
          <w:rFonts w:ascii="宋体" w:hAnsi="宋体" w:eastAsia="宋体"/>
          <w:b w:val="0"/>
          <w:sz w:val="22"/>
        </w:rPr>
        <w:t>0分：健康；1-2分：衰弱前期；3-5分：衰弱。</w:t>
      </w:r>
    </w:p>
    <w:p>
      <w:r>
        <w:rPr>
          <w:rFonts w:ascii="宋体" w:hAnsi="宋体" w:eastAsia="宋体"/>
          <w:b w:val="0"/>
          <w:sz w:val="22"/>
        </w:rPr>
        <w:t>适合门诊快速筛查。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3.2 临床衰弱量表（CFS）</w:t>
      </w:r>
    </w:p>
    <w:p>
      <w:r>
        <w:rPr>
          <w:rFonts w:ascii="宋体" w:hAnsi="宋体" w:eastAsia="宋体"/>
          <w:b w:val="0"/>
          <w:sz w:val="22"/>
        </w:rPr>
        <w:t>1-9级评分：</w:t>
      </w:r>
    </w:p>
    <w:p>
      <w:r>
        <w:rPr>
          <w:rFonts w:ascii="宋体" w:hAnsi="宋体" w:eastAsia="宋体"/>
          <w:b w:val="0"/>
          <w:sz w:val="22"/>
        </w:rPr>
        <w:t>1级：非常健康；2级：健康；3级：管理良好；4级：脆弱；</w:t>
      </w:r>
    </w:p>
    <w:p>
      <w:r>
        <w:rPr>
          <w:rFonts w:ascii="宋体" w:hAnsi="宋体" w:eastAsia="宋体"/>
          <w:b w:val="0"/>
          <w:sz w:val="22"/>
        </w:rPr>
        <w:t>5级：轻度衰弱；6级：中度衰弱；7级：重度衰弱；</w:t>
      </w:r>
    </w:p>
    <w:p>
      <w:r>
        <w:rPr>
          <w:rFonts w:ascii="宋体" w:hAnsi="宋体" w:eastAsia="宋体"/>
          <w:b w:val="0"/>
          <w:sz w:val="22"/>
        </w:rPr>
        <w:t>8级：非常重度衰弱；9级：终末期。</w:t>
      </w:r>
    </w:p>
    <w:p>
      <w:r>
        <w:rPr>
          <w:rFonts w:ascii="宋体" w:hAnsi="宋体" w:eastAsia="宋体"/>
          <w:b w:val="0"/>
          <w:sz w:val="22"/>
        </w:rPr>
        <w:t>适合住院患者。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3.3 Edmonton衰弱量表（EFS）</w:t>
      </w:r>
    </w:p>
    <w:p>
      <w:r>
        <w:rPr>
          <w:rFonts w:ascii="宋体" w:hAnsi="宋体" w:eastAsia="宋体"/>
          <w:b w:val="0"/>
          <w:sz w:val="22"/>
        </w:rPr>
        <w:t>包含9个维度：认知、健康状况、功能、社会支持、药物使用、营养、情绪、失禁、功能表现。</w:t>
      </w:r>
    </w:p>
    <w:p>
      <w:r>
        <w:rPr>
          <w:rFonts w:ascii="宋体" w:hAnsi="宋体" w:eastAsia="宋体"/>
          <w:b w:val="0"/>
          <w:sz w:val="22"/>
        </w:rPr>
        <w:t>适合社区老年人综合评估。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3.4 评估工具对比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工具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项目数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耗时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适用场景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特点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Fried表型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5项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10-15分钟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研究、综合评估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金标准，需测量设备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FRAIL量表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5个问题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&lt;1分钟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门诊快速筛查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简便，自评或他评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CFS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1-9级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1-2分钟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住院、急性照护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临床判断，适用广泛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EFS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9维度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5-10分钟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社区综合评估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全面，含认知和社会支持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SPPB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3项测试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5分钟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功能评估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客观测量，预测效度好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TUGT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1项测试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1-2分钟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平衡和移动评估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简单，可重复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四、衰弱与常见疾病鉴别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4.1 衰弱 vs 肌少症</w:t>
      </w:r>
    </w:p>
    <w:p>
      <w:r>
        <w:rPr>
          <w:rFonts w:ascii="宋体" w:hAnsi="宋体" w:eastAsia="宋体"/>
          <w:b w:val="0"/>
          <w:sz w:val="22"/>
        </w:rPr>
        <w:t>肌少症：以骨骼肌质量和力量下降为核心。</w:t>
      </w:r>
    </w:p>
    <w:p>
      <w:r>
        <w:rPr>
          <w:rFonts w:ascii="宋体" w:hAnsi="宋体" w:eastAsia="宋体"/>
          <w:b w:val="0"/>
          <w:sz w:val="22"/>
        </w:rPr>
        <w:t>衰弱：以多系统生理储备下降为核心，范围更广。</w:t>
      </w:r>
    </w:p>
    <w:p>
      <w:r>
        <w:rPr>
          <w:rFonts w:ascii="宋体" w:hAnsi="宋体" w:eastAsia="宋体"/>
          <w:b w:val="0"/>
          <w:sz w:val="22"/>
        </w:rPr>
        <w:t>关系：肌少症是衰弱的重要组成部分，但衰弱不等同于肌少症。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4.2 衰弱 vs 营养不良</w:t>
      </w:r>
    </w:p>
    <w:p>
      <w:r>
        <w:rPr>
          <w:rFonts w:ascii="宋体" w:hAnsi="宋体" w:eastAsia="宋体"/>
          <w:b w:val="0"/>
          <w:sz w:val="22"/>
        </w:rPr>
        <w:t>营养不良：以营养摄入不足或吸收障碍为核心。</w:t>
      </w:r>
    </w:p>
    <w:p>
      <w:r>
        <w:rPr>
          <w:rFonts w:ascii="宋体" w:hAnsi="宋体" w:eastAsia="宋体"/>
          <w:b w:val="0"/>
          <w:sz w:val="22"/>
        </w:rPr>
        <w:t>衰弱：以生理储备下降为核心。</w:t>
      </w:r>
    </w:p>
    <w:p>
      <w:r>
        <w:rPr>
          <w:rFonts w:ascii="宋体" w:hAnsi="宋体" w:eastAsia="宋体"/>
          <w:b w:val="0"/>
          <w:sz w:val="22"/>
        </w:rPr>
        <w:t>关系：营养不良可导致衰弱，但衰弱患者不一定都营养不良。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4.3 衰弱 vs 失能</w:t>
      </w:r>
    </w:p>
    <w:p>
      <w:r>
        <w:rPr>
          <w:rFonts w:ascii="宋体" w:hAnsi="宋体" w:eastAsia="宋体"/>
          <w:b w:val="0"/>
          <w:sz w:val="22"/>
        </w:rPr>
        <w:t>失能：以日常生活活动能力（ADL）受限为核心。</w:t>
      </w:r>
    </w:p>
    <w:p>
      <w:r>
        <w:rPr>
          <w:rFonts w:ascii="宋体" w:hAnsi="宋体" w:eastAsia="宋体"/>
          <w:b w:val="0"/>
          <w:sz w:val="22"/>
        </w:rPr>
        <w:t>衰弱：以生理储备下降为核心，可能在失能之前出现。</w:t>
      </w:r>
    </w:p>
    <w:p>
      <w:r>
        <w:rPr>
          <w:rFonts w:ascii="宋体" w:hAnsi="宋体" w:eastAsia="宋体"/>
          <w:b w:val="0"/>
          <w:sz w:val="22"/>
        </w:rPr>
        <w:t>关系：衰弱是失能的前驱状态，及时干预可延缓失能。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4.4 衰弱 vs 抑郁</w:t>
      </w:r>
    </w:p>
    <w:p>
      <w:r>
        <w:rPr>
          <w:rFonts w:ascii="宋体" w:hAnsi="宋体" w:eastAsia="宋体"/>
          <w:b w:val="0"/>
          <w:sz w:val="22"/>
        </w:rPr>
        <w:t>抑郁：以情绪低落、兴趣丧失为核心。</w:t>
      </w:r>
    </w:p>
    <w:p>
      <w:r>
        <w:rPr>
          <w:rFonts w:ascii="宋体" w:hAnsi="宋体" w:eastAsia="宋体"/>
          <w:b w:val="0"/>
          <w:sz w:val="22"/>
        </w:rPr>
        <w:t>衰弱：以生理储备下降为核心。</w:t>
      </w:r>
    </w:p>
    <w:p>
      <w:r>
        <w:rPr>
          <w:rFonts w:ascii="宋体" w:hAnsi="宋体" w:eastAsia="宋体"/>
          <w:b w:val="0"/>
          <w:sz w:val="22"/>
        </w:rPr>
        <w:t>关系：两者常共存，需鉴别主次。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五、衰弱患者营养干预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5.1 蛋白质补充</w:t>
      </w:r>
    </w:p>
    <w:p>
      <w:r>
        <w:rPr>
          <w:rFonts w:ascii="宋体" w:hAnsi="宋体" w:eastAsia="宋体"/>
          <w:b w:val="0"/>
          <w:sz w:val="22"/>
        </w:rPr>
        <w:t>每日蛋白质摄入：1.2-1.5 g/kg体重。</w:t>
      </w:r>
    </w:p>
    <w:p>
      <w:r>
        <w:rPr>
          <w:rFonts w:ascii="宋体" w:hAnsi="宋体" w:eastAsia="宋体"/>
          <w:b w:val="0"/>
          <w:sz w:val="22"/>
        </w:rPr>
        <w:t>优质蛋白占比：≥50%。</w:t>
      </w:r>
    </w:p>
    <w:p>
      <w:r>
        <w:rPr>
          <w:rFonts w:ascii="宋体" w:hAnsi="宋体" w:eastAsia="宋体"/>
          <w:b w:val="0"/>
          <w:sz w:val="22"/>
        </w:rPr>
        <w:t>优质蛋白来源：鸡蛋、牛奶、鱼肉、瘦肉、豆制品。</w:t>
      </w:r>
    </w:p>
    <w:p>
      <w:r>
        <w:rPr>
          <w:rFonts w:ascii="宋体" w:hAnsi="宋体" w:eastAsia="宋体"/>
          <w:b w:val="0"/>
          <w:sz w:val="22"/>
        </w:rPr>
        <w:t>口服营养补充剂（ONS）：安素、能全素等，每日400-600 kcal。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5.2 维生素与矿物质</w:t>
      </w:r>
    </w:p>
    <w:p>
      <w:r>
        <w:rPr>
          <w:rFonts w:ascii="宋体" w:hAnsi="宋体" w:eastAsia="宋体"/>
          <w:b w:val="0"/>
          <w:sz w:val="22"/>
        </w:rPr>
        <w:t>维生素D：800-1000 IU/日。</w:t>
      </w:r>
    </w:p>
    <w:p>
      <w:r>
        <w:rPr>
          <w:rFonts w:ascii="宋体" w:hAnsi="宋体" w:eastAsia="宋体"/>
          <w:b w:val="0"/>
          <w:sz w:val="22"/>
        </w:rPr>
        <w:t>钙剂：1000-1200 mg/日。</w:t>
      </w:r>
    </w:p>
    <w:p>
      <w:r>
        <w:rPr>
          <w:rFonts w:ascii="宋体" w:hAnsi="宋体" w:eastAsia="宋体"/>
          <w:b w:val="0"/>
          <w:sz w:val="22"/>
        </w:rPr>
        <w:t>维生素B12：尤其素食者需补充。</w:t>
      </w:r>
    </w:p>
    <w:p>
      <w:r>
        <w:rPr>
          <w:rFonts w:ascii="宋体" w:hAnsi="宋体" w:eastAsia="宋体"/>
          <w:b w:val="0"/>
          <w:sz w:val="22"/>
        </w:rPr>
        <w:t>叶酸：缺乏时补充。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5.3 饮食模式</w:t>
      </w:r>
    </w:p>
    <w:p>
      <w:r>
        <w:rPr>
          <w:rFonts w:ascii="宋体" w:hAnsi="宋体" w:eastAsia="宋体"/>
          <w:b w:val="0"/>
          <w:sz w:val="22"/>
        </w:rPr>
        <w:t>地中海饮食模式：富含蔬菜、水果、全谷物、橄榄油、鱼类。</w:t>
      </w:r>
    </w:p>
    <w:p>
      <w:r>
        <w:rPr>
          <w:rFonts w:ascii="宋体" w:hAnsi="宋体" w:eastAsia="宋体"/>
          <w:b w:val="0"/>
          <w:sz w:val="22"/>
        </w:rPr>
        <w:t>少量多餐：每日5-6餐，避免一次进食过多。</w:t>
      </w:r>
    </w:p>
    <w:p>
      <w:r>
        <w:rPr>
          <w:rFonts w:ascii="宋体" w:hAnsi="宋体" w:eastAsia="宋体"/>
          <w:b w:val="0"/>
          <w:sz w:val="22"/>
        </w:rPr>
        <w:t>充足水分：每日1500-2000ml。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六、衰弱患者运动干预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6.1 有氧运动</w:t>
      </w:r>
    </w:p>
    <w:p>
      <w:r>
        <w:rPr>
          <w:rFonts w:ascii="宋体" w:hAnsi="宋体" w:eastAsia="宋体"/>
          <w:b w:val="0"/>
          <w:sz w:val="22"/>
        </w:rPr>
        <w:t>频率：每周≥5天。</w:t>
      </w:r>
    </w:p>
    <w:p>
      <w:r>
        <w:rPr>
          <w:rFonts w:ascii="宋体" w:hAnsi="宋体" w:eastAsia="宋体"/>
          <w:b w:val="0"/>
          <w:sz w:val="22"/>
        </w:rPr>
        <w:t>强度：中等强度（微微出汗，能说话但不能唱歌）。</w:t>
      </w:r>
    </w:p>
    <w:p>
      <w:r>
        <w:rPr>
          <w:rFonts w:ascii="宋体" w:hAnsi="宋体" w:eastAsia="宋体"/>
          <w:b w:val="0"/>
          <w:sz w:val="22"/>
        </w:rPr>
        <w:t>时间：每次30分钟。</w:t>
      </w:r>
    </w:p>
    <w:p>
      <w:r>
        <w:rPr>
          <w:rFonts w:ascii="宋体" w:hAnsi="宋体" w:eastAsia="宋体"/>
          <w:b w:val="0"/>
          <w:sz w:val="22"/>
        </w:rPr>
        <w:t>类型：快走、慢跑、游泳、骑自行车。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6.2 抗阻训练</w:t>
      </w:r>
    </w:p>
    <w:p>
      <w:r>
        <w:rPr>
          <w:rFonts w:ascii="宋体" w:hAnsi="宋体" w:eastAsia="宋体"/>
          <w:b w:val="0"/>
          <w:sz w:val="22"/>
        </w:rPr>
        <w:t>频率：每周2-3次。</w:t>
      </w:r>
    </w:p>
    <w:p>
      <w:r>
        <w:rPr>
          <w:rFonts w:ascii="宋体" w:hAnsi="宋体" w:eastAsia="宋体"/>
          <w:b w:val="0"/>
          <w:sz w:val="22"/>
        </w:rPr>
        <w:t>强度：使用弹力带或轻哑铃。</w:t>
      </w:r>
    </w:p>
    <w:p>
      <w:r>
        <w:rPr>
          <w:rFonts w:ascii="宋体" w:hAnsi="宋体" w:eastAsia="宋体"/>
          <w:b w:val="0"/>
          <w:sz w:val="22"/>
        </w:rPr>
        <w:t>组数：每个动作8-12次/组，1-3组。</w:t>
      </w:r>
    </w:p>
    <w:p>
      <w:r>
        <w:rPr>
          <w:rFonts w:ascii="宋体" w:hAnsi="宋体" w:eastAsia="宋体"/>
          <w:b w:val="0"/>
          <w:sz w:val="22"/>
        </w:rPr>
        <w:t>肌群：下肢（深蹲、提踵）、上肢（哑铃弯举、俯卧撑）、核心（平板支撑）。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6.3 平衡训练</w:t>
      </w:r>
    </w:p>
    <w:p>
      <w:r>
        <w:rPr>
          <w:rFonts w:ascii="宋体" w:hAnsi="宋体" w:eastAsia="宋体"/>
          <w:b w:val="0"/>
          <w:sz w:val="22"/>
        </w:rPr>
        <w:t>频率：每周≥3次。</w:t>
      </w:r>
    </w:p>
    <w:p>
      <w:r>
        <w:rPr>
          <w:rFonts w:ascii="宋体" w:hAnsi="宋体" w:eastAsia="宋体"/>
          <w:b w:val="0"/>
          <w:sz w:val="22"/>
        </w:rPr>
        <w:t>时间：每次20-30分钟。</w:t>
      </w:r>
    </w:p>
    <w:p>
      <w:r>
        <w:rPr>
          <w:rFonts w:ascii="宋体" w:hAnsi="宋体" w:eastAsia="宋体"/>
          <w:b w:val="0"/>
          <w:sz w:val="22"/>
        </w:rPr>
        <w:t>类型：太极拳、单腿站立、脚跟-脚尖行走。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6.4 注意事项</w:t>
      </w:r>
    </w:p>
    <w:p>
      <w:r>
        <w:rPr>
          <w:rFonts w:ascii="宋体" w:hAnsi="宋体" w:eastAsia="宋体"/>
          <w:b w:val="0"/>
          <w:sz w:val="22"/>
        </w:rPr>
        <w:t>运动前需评估心肺功能。</w:t>
      </w:r>
    </w:p>
    <w:p>
      <w:r>
        <w:rPr>
          <w:rFonts w:ascii="宋体" w:hAnsi="宋体" w:eastAsia="宋体"/>
          <w:b w:val="0"/>
          <w:sz w:val="22"/>
        </w:rPr>
        <w:t>从低强度开始，循序渐进。</w:t>
      </w:r>
    </w:p>
    <w:p>
      <w:r>
        <w:rPr>
          <w:rFonts w:ascii="宋体" w:hAnsi="宋体" w:eastAsia="宋体"/>
          <w:b w:val="0"/>
          <w:sz w:val="22"/>
        </w:rPr>
        <w:t>有跌倒风险者需有人陪同。</w:t>
      </w:r>
    </w:p>
    <w:p>
      <w:r>
        <w:rPr>
          <w:rFonts w:ascii="宋体" w:hAnsi="宋体" w:eastAsia="宋体"/>
          <w:b w:val="0"/>
          <w:sz w:val="22"/>
        </w:rPr>
        <w:t>出现胸痛、气短、头晕应立即停止。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七、衰弱患者药物管理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7.1 多重用药审查</w:t>
      </w:r>
    </w:p>
    <w:p>
      <w:r>
        <w:rPr>
          <w:rFonts w:ascii="宋体" w:hAnsi="宋体" w:eastAsia="宋体"/>
          <w:b w:val="0"/>
          <w:sz w:val="22"/>
        </w:rPr>
        <w:t>标准：Beers标准、STOPP/START标准。</w:t>
      </w:r>
    </w:p>
    <w:p>
      <w:r>
        <w:rPr>
          <w:rFonts w:ascii="宋体" w:hAnsi="宋体" w:eastAsia="宋体"/>
          <w:b w:val="0"/>
          <w:sz w:val="22"/>
        </w:rPr>
        <w:t>频率：每3个月审查一次。</w:t>
      </w:r>
    </w:p>
    <w:p>
      <w:r>
        <w:rPr>
          <w:rFonts w:ascii="宋体" w:hAnsi="宋体" w:eastAsia="宋体"/>
          <w:b w:val="0"/>
          <w:sz w:val="22"/>
        </w:rPr>
        <w:t>重点：抗胆碱能药物、镇静安眠药、阿片类药物。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7.2 用药原则</w:t>
      </w:r>
    </w:p>
    <w:p>
      <w:r>
        <w:rPr>
          <w:rFonts w:ascii="宋体" w:hAnsi="宋体" w:eastAsia="宋体"/>
          <w:b w:val="0"/>
          <w:sz w:val="22"/>
        </w:rPr>
        <w:t>低剂量起始、缓慢增量。</w:t>
      </w:r>
    </w:p>
    <w:p>
      <w:r>
        <w:rPr>
          <w:rFonts w:ascii="宋体" w:hAnsi="宋体" w:eastAsia="宋体"/>
          <w:b w:val="0"/>
          <w:sz w:val="22"/>
        </w:rPr>
        <w:t>优先停用无明确适应症的药物。</w:t>
      </w:r>
    </w:p>
    <w:p>
      <w:r>
        <w:rPr>
          <w:rFonts w:ascii="宋体" w:hAnsi="宋体" w:eastAsia="宋体"/>
          <w:b w:val="0"/>
          <w:sz w:val="22"/>
        </w:rPr>
        <w:t>避免使用Beers标准中的潜在不适当药物。</w:t>
      </w:r>
    </w:p>
    <w:p>
      <w:r>
        <w:rPr>
          <w:rFonts w:ascii="宋体" w:hAnsi="宋体" w:eastAsia="宋体"/>
          <w:b w:val="0"/>
          <w:sz w:val="22"/>
        </w:rPr>
        <w:t>注意药物相互作用。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7.3 常见需调整的药物</w:t>
      </w:r>
    </w:p>
    <w:p>
      <w:r>
        <w:rPr>
          <w:rFonts w:ascii="宋体" w:hAnsi="宋体" w:eastAsia="宋体"/>
          <w:b w:val="0"/>
          <w:sz w:val="22"/>
        </w:rPr>
        <w:t>降压药：避免过度降压导致体位性低血压。</w:t>
      </w:r>
    </w:p>
    <w:p>
      <w:r>
        <w:rPr>
          <w:rFonts w:ascii="宋体" w:hAnsi="宋体" w:eastAsia="宋体"/>
          <w:b w:val="0"/>
          <w:sz w:val="22"/>
        </w:rPr>
        <w:t>降糖药：避免低血糖风险。</w:t>
      </w:r>
    </w:p>
    <w:p>
      <w:r>
        <w:rPr>
          <w:rFonts w:ascii="宋体" w:hAnsi="宋体" w:eastAsia="宋体"/>
          <w:b w:val="0"/>
          <w:sz w:val="22"/>
        </w:rPr>
        <w:t>抗凝药：评估出血风险。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八、衰弱患者跌倒预防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8.1 风险评估</w:t>
      </w:r>
    </w:p>
    <w:p>
      <w:r>
        <w:rPr>
          <w:rFonts w:ascii="宋体" w:hAnsi="宋体" w:eastAsia="宋体"/>
          <w:b w:val="0"/>
          <w:sz w:val="22"/>
        </w:rPr>
        <w:t>使用Morse跌倒评估量表或Hendrich II跌倒风险评估模型。</w:t>
      </w:r>
    </w:p>
    <w:p>
      <w:r>
        <w:rPr>
          <w:rFonts w:ascii="宋体" w:hAnsi="宋体" w:eastAsia="宋体"/>
          <w:b w:val="0"/>
          <w:sz w:val="22"/>
        </w:rPr>
        <w:t>评估频率：入院时、病情变化时、出院前。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8.2 环境改造</w:t>
      </w:r>
    </w:p>
    <w:p>
      <w:r>
        <w:rPr>
          <w:rFonts w:ascii="宋体" w:hAnsi="宋体" w:eastAsia="宋体"/>
          <w:b w:val="0"/>
          <w:sz w:val="22"/>
        </w:rPr>
        <w:t>居家：改善照明、安装扶手、移除障碍物、使用防滑垫。</w:t>
      </w:r>
    </w:p>
    <w:p>
      <w:r>
        <w:rPr>
          <w:rFonts w:ascii="宋体" w:hAnsi="宋体" w:eastAsia="宋体"/>
          <w:b w:val="0"/>
          <w:sz w:val="22"/>
        </w:rPr>
        <w:t>医院：床栏、呼叫器、防滑拖鞋、夜间照明。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8.3 辅助器具</w:t>
      </w:r>
    </w:p>
    <w:p>
      <w:r>
        <w:rPr>
          <w:rFonts w:ascii="宋体" w:hAnsi="宋体" w:eastAsia="宋体"/>
          <w:b w:val="0"/>
          <w:sz w:val="22"/>
        </w:rPr>
        <w:t>手杖：轻度平衡障碍。</w:t>
      </w:r>
    </w:p>
    <w:p>
      <w:r>
        <w:rPr>
          <w:rFonts w:ascii="宋体" w:hAnsi="宋体" w:eastAsia="宋体"/>
          <w:b w:val="0"/>
          <w:sz w:val="22"/>
        </w:rPr>
        <w:t>助行器：中度平衡障碍。</w:t>
      </w:r>
    </w:p>
    <w:p>
      <w:r>
        <w:rPr>
          <w:rFonts w:ascii="宋体" w:hAnsi="宋体" w:eastAsia="宋体"/>
          <w:b w:val="0"/>
          <w:sz w:val="22"/>
        </w:rPr>
        <w:t>轮椅：重度活动受限。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8.4 药物调整</w:t>
      </w:r>
    </w:p>
    <w:p>
      <w:r>
        <w:rPr>
          <w:rFonts w:ascii="宋体" w:hAnsi="宋体" w:eastAsia="宋体"/>
          <w:b w:val="0"/>
          <w:sz w:val="22"/>
        </w:rPr>
        <w:t>停用或减量增加跌倒风险的药物（镇静安眠药、降压药、利尿剂）。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九、衰弱患者认知与心理支持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9.1 认知评估</w:t>
      </w:r>
    </w:p>
    <w:p>
      <w:r>
        <w:rPr>
          <w:rFonts w:ascii="宋体" w:hAnsi="宋体" w:eastAsia="宋体"/>
          <w:b w:val="0"/>
          <w:sz w:val="22"/>
        </w:rPr>
        <w:t>工具：MMSE（简易智力状态检查量表）、MoCA（蒙特利尔认知评估量表）。</w:t>
      </w:r>
    </w:p>
    <w:p>
      <w:r>
        <w:rPr>
          <w:rFonts w:ascii="宋体" w:hAnsi="宋体" w:eastAsia="宋体"/>
          <w:b w:val="0"/>
          <w:sz w:val="22"/>
        </w:rPr>
        <w:t>频率：每年一次，或病情变化时。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9.2 抑郁筛查</w:t>
      </w:r>
    </w:p>
    <w:p>
      <w:r>
        <w:rPr>
          <w:rFonts w:ascii="宋体" w:hAnsi="宋体" w:eastAsia="宋体"/>
          <w:b w:val="0"/>
          <w:sz w:val="22"/>
        </w:rPr>
        <w:t>工具：GDS-15（老年抑郁量表-15项）。</w:t>
      </w:r>
    </w:p>
    <w:p>
      <w:r>
        <w:rPr>
          <w:rFonts w:ascii="宋体" w:hAnsi="宋体" w:eastAsia="宋体"/>
          <w:b w:val="0"/>
          <w:sz w:val="22"/>
        </w:rPr>
        <w:t>频率：每年一次。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9.3 心理干预</w:t>
      </w:r>
    </w:p>
    <w:p>
      <w:r>
        <w:rPr>
          <w:rFonts w:ascii="宋体" w:hAnsi="宋体" w:eastAsia="宋体"/>
          <w:b w:val="0"/>
          <w:sz w:val="22"/>
        </w:rPr>
        <w:t>认知行为疗法（CBT）。</w:t>
      </w:r>
    </w:p>
    <w:p>
      <w:r>
        <w:rPr>
          <w:rFonts w:ascii="宋体" w:hAnsi="宋体" w:eastAsia="宋体"/>
          <w:b w:val="0"/>
          <w:sz w:val="22"/>
        </w:rPr>
        <w:t>团体心理支持。</w:t>
      </w:r>
    </w:p>
    <w:p>
      <w:r>
        <w:rPr>
          <w:rFonts w:ascii="宋体" w:hAnsi="宋体" w:eastAsia="宋体"/>
          <w:b w:val="0"/>
          <w:sz w:val="22"/>
        </w:rPr>
        <w:t>家庭支持和社会支持。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十、衰弱患者随访管理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10.1 随访频率</w:t>
      </w:r>
    </w:p>
    <w:p>
      <w:r>
        <w:rPr>
          <w:rFonts w:ascii="宋体" w:hAnsi="宋体" w:eastAsia="宋体"/>
          <w:b w:val="0"/>
          <w:sz w:val="22"/>
        </w:rPr>
        <w:t>衰弱前期：每6个月。</w:t>
      </w:r>
    </w:p>
    <w:p>
      <w:r>
        <w:rPr>
          <w:rFonts w:ascii="宋体" w:hAnsi="宋体" w:eastAsia="宋体"/>
          <w:b w:val="0"/>
          <w:sz w:val="22"/>
        </w:rPr>
        <w:t>衰弱：每3个月。</w:t>
      </w:r>
    </w:p>
    <w:p>
      <w:r>
        <w:rPr>
          <w:rFonts w:ascii="宋体" w:hAnsi="宋体" w:eastAsia="宋体"/>
          <w:b w:val="0"/>
          <w:sz w:val="22"/>
        </w:rPr>
        <w:t>住院后：出院后1周、1个月、3个月。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10.2 随访内容</w:t>
      </w:r>
    </w:p>
    <w:p>
      <w:r>
        <w:rPr>
          <w:rFonts w:ascii="宋体" w:hAnsi="宋体" w:eastAsia="宋体"/>
          <w:b w:val="0"/>
          <w:sz w:val="22"/>
        </w:rPr>
        <w:t>体重变化、活动能力（步速、握力）、营养状况、用药依从性、跌倒事件、再住院情况。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10.3 转诊指征</w:t>
      </w:r>
    </w:p>
    <w:p>
      <w:r>
        <w:rPr>
          <w:rFonts w:ascii="宋体" w:hAnsi="宋体" w:eastAsia="宋体"/>
          <w:b w:val="0"/>
          <w:sz w:val="22"/>
        </w:rPr>
        <w:t>严重营养不良（BMI&lt;18.5或白蛋白&lt;30g/L）。</w:t>
      </w:r>
    </w:p>
    <w:p>
      <w:r>
        <w:rPr>
          <w:rFonts w:ascii="宋体" w:hAnsi="宋体" w:eastAsia="宋体"/>
          <w:b w:val="0"/>
          <w:sz w:val="22"/>
        </w:rPr>
        <w:t>反复跌倒（3个月内≥2次）。</w:t>
      </w:r>
    </w:p>
    <w:p>
      <w:r>
        <w:rPr>
          <w:rFonts w:ascii="宋体" w:hAnsi="宋体" w:eastAsia="宋体"/>
          <w:b w:val="0"/>
          <w:sz w:val="22"/>
        </w:rPr>
        <w:t>严重抑郁（GDS-15≥8分）。</w:t>
      </w:r>
    </w:p>
    <w:p>
      <w:r>
        <w:rPr>
          <w:rFonts w:ascii="宋体" w:hAnsi="宋体" w:eastAsia="宋体"/>
          <w:b w:val="0"/>
          <w:sz w:val="22"/>
        </w:rPr>
        <w:t>认知功能快速下降。</w:t>
      </w:r>
    </w:p>
    <w:p>
      <w:r>
        <w:rPr>
          <w:rFonts w:ascii="宋体" w:hAnsi="宋体" w:eastAsia="宋体"/>
          <w:b w:val="0"/>
          <w:sz w:val="22"/>
        </w:rPr>
        <w:t>需要多学科团队干预。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十一、衰弱与预后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11.1 衰弱患者的预后特点</w:t>
      </w:r>
    </w:p>
    <w:p>
      <w:r>
        <w:rPr>
          <w:rFonts w:ascii="宋体" w:hAnsi="宋体" w:eastAsia="宋体"/>
          <w:b w:val="0"/>
          <w:sz w:val="22"/>
        </w:rPr>
        <w:t>住院时间延长、再住院率增加、术后并发症增加、死亡率升高、失能风险增加。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11.2 衰弱逆转的可能性</w:t>
      </w:r>
    </w:p>
    <w:p>
      <w:r>
        <w:rPr>
          <w:rFonts w:ascii="宋体" w:hAnsi="宋体" w:eastAsia="宋体"/>
          <w:b w:val="0"/>
          <w:sz w:val="22"/>
        </w:rPr>
        <w:t>衰弱前期：通过干预可能逆转为健康状态。</w:t>
      </w:r>
    </w:p>
    <w:p>
      <w:r>
        <w:rPr>
          <w:rFonts w:ascii="宋体" w:hAnsi="宋体" w:eastAsia="宋体"/>
          <w:b w:val="0"/>
          <w:sz w:val="22"/>
        </w:rPr>
        <w:t>轻度衰弱：通过综合干预可能改善。</w:t>
      </w:r>
    </w:p>
    <w:p>
      <w:r>
        <w:rPr>
          <w:rFonts w:ascii="宋体" w:hAnsi="宋体" w:eastAsia="宋体"/>
          <w:b w:val="0"/>
          <w:sz w:val="22"/>
        </w:rPr>
        <w:t>中重度衰弱：难以完全逆转，但可延缓进展。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十二、特殊人群的衰弱评估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12.1 住院患者</w:t>
      </w:r>
    </w:p>
    <w:p>
      <w:r>
        <w:rPr>
          <w:rFonts w:ascii="宋体" w:hAnsi="宋体" w:eastAsia="宋体"/>
          <w:b w:val="0"/>
          <w:sz w:val="22"/>
        </w:rPr>
        <w:t>入院24小时内完成衰弱筛查。</w:t>
      </w:r>
    </w:p>
    <w:p>
      <w:r>
        <w:rPr>
          <w:rFonts w:ascii="宋体" w:hAnsi="宋体" w:eastAsia="宋体"/>
          <w:b w:val="0"/>
          <w:sz w:val="22"/>
        </w:rPr>
        <w:t>使用CFS或FRAIL量表。</w:t>
      </w:r>
    </w:p>
    <w:p>
      <w:r>
        <w:rPr>
          <w:rFonts w:ascii="宋体" w:hAnsi="宋体" w:eastAsia="宋体"/>
          <w:b w:val="0"/>
          <w:sz w:val="22"/>
        </w:rPr>
        <w:t>衰弱患者需标记，加强护理。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12.2 手术患者</w:t>
      </w:r>
    </w:p>
    <w:p>
      <w:r>
        <w:rPr>
          <w:rFonts w:ascii="宋体" w:hAnsi="宋体" w:eastAsia="宋体"/>
          <w:b w:val="0"/>
          <w:sz w:val="22"/>
        </w:rPr>
        <w:t>术前衰弱评估可预测术后并发症。</w:t>
      </w:r>
    </w:p>
    <w:p>
      <w:r>
        <w:rPr>
          <w:rFonts w:ascii="宋体" w:hAnsi="宋体" w:eastAsia="宋体"/>
          <w:b w:val="0"/>
          <w:sz w:val="22"/>
        </w:rPr>
        <w:t>衰弱患者术后需加强康复。</w:t>
      </w:r>
    </w:p>
    <w:p>
      <w:r>
        <w:rPr>
          <w:rFonts w:ascii="宋体" w:hAnsi="宋体" w:eastAsia="宋体"/>
          <w:b w:val="0"/>
          <w:sz w:val="22"/>
        </w:rPr>
        <w:t>可考虑术前预康复（prehabilitation）。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12.3 肿瘤患者</w:t>
      </w:r>
    </w:p>
    <w:p>
      <w:r>
        <w:rPr>
          <w:rFonts w:ascii="宋体" w:hAnsi="宋体" w:eastAsia="宋体"/>
          <w:b w:val="0"/>
          <w:sz w:val="22"/>
        </w:rPr>
        <w:t>化疗前评估衰弱状态。</w:t>
      </w:r>
    </w:p>
    <w:p>
      <w:r>
        <w:rPr>
          <w:rFonts w:ascii="宋体" w:hAnsi="宋体" w:eastAsia="宋体"/>
          <w:b w:val="0"/>
          <w:sz w:val="22"/>
        </w:rPr>
        <w:t>衰弱患者化疗耐受性差，需调整方案。</w:t>
      </w:r>
    </w:p>
    <w:p>
      <w:r>
        <w:rPr>
          <w:rFonts w:ascii="宋体" w:hAnsi="宋体" w:eastAsia="宋体"/>
          <w:b w:val="0"/>
          <w:sz w:val="22"/>
        </w:rPr>
        <w:t>可考虑衰弱导向的个体化治疗。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12.4 透析患者</w:t>
      </w:r>
    </w:p>
    <w:p>
      <w:r>
        <w:rPr>
          <w:rFonts w:ascii="宋体" w:hAnsi="宋体" w:eastAsia="宋体"/>
          <w:b w:val="0"/>
          <w:sz w:val="22"/>
        </w:rPr>
        <w:t>透析患者衰弱发生率高。</w:t>
      </w:r>
    </w:p>
    <w:p>
      <w:r>
        <w:rPr>
          <w:rFonts w:ascii="宋体" w:hAnsi="宋体" w:eastAsia="宋体"/>
          <w:b w:val="0"/>
          <w:sz w:val="22"/>
        </w:rPr>
        <w:t>透析充分性、营养状态、贫血纠正影响衰弱。</w:t>
      </w:r>
    </w:p>
    <w:p>
      <w:r>
        <w:rPr>
          <w:rFonts w:ascii="宋体" w:hAnsi="宋体" w:eastAsia="宋体"/>
          <w:b w:val="0"/>
          <w:sz w:val="22"/>
        </w:rPr>
        <w:t>需多学科协作管理。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十三、国际核心文献（原始研究）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13.1 Fried衰弱表型标准原始文献</w:t>
      </w:r>
    </w:p>
    <w:p>
      <w:r>
        <w:rPr>
          <w:rFonts w:ascii="宋体" w:hAnsi="宋体" w:eastAsia="宋体"/>
          <w:b w:val="0"/>
          <w:sz w:val="22"/>
        </w:rPr>
        <w:t>Fried LP, Tangen CM, Walston J, et al. Frailty in older adults: evidence for a phenotype.</w:t>
      </w:r>
    </w:p>
    <w:p>
      <w:r>
        <w:rPr>
          <w:rFonts w:ascii="宋体" w:hAnsi="宋体" w:eastAsia="宋体"/>
          <w:b w:val="0"/>
          <w:sz w:val="22"/>
        </w:rPr>
        <w:t>J Gerontol A Biol Sci Med Sci. 2001;56(3):M146-M156.</w:t>
      </w:r>
    </w:p>
    <w:p>
      <w:r>
        <w:rPr>
          <w:rFonts w:ascii="宋体" w:hAnsi="宋体" w:eastAsia="宋体"/>
          <w:b w:val="0"/>
          <w:sz w:val="22"/>
        </w:rPr>
        <w:t>• 首次提出Fried衰弱表型5项标准</w:t>
      </w:r>
    </w:p>
    <w:p>
      <w:r>
        <w:rPr>
          <w:rFonts w:ascii="宋体" w:hAnsi="宋体" w:eastAsia="宋体"/>
          <w:b w:val="0"/>
          <w:sz w:val="22"/>
        </w:rPr>
        <w:t>• 基于心血管健康研究（CHS）5377名老年人数据</w:t>
      </w:r>
    </w:p>
    <w:p>
      <w:r>
        <w:rPr>
          <w:rFonts w:ascii="宋体" w:hAnsi="宋体" w:eastAsia="宋体"/>
          <w:b w:val="0"/>
          <w:sz w:val="22"/>
        </w:rPr>
        <w:t>• 衰弱患病率：社区老年人6.9%，住院老年人更高</w:t>
      </w:r>
    </w:p>
    <w:p>
      <w:r>
        <w:rPr>
          <w:rFonts w:ascii="宋体" w:hAnsi="宋体" w:eastAsia="宋体"/>
          <w:b w:val="0"/>
          <w:sz w:val="22"/>
        </w:rPr>
        <w:t>• 衰弱与跌倒、住院、失能、死亡显著相关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13.2 Rockwood累积缺陷模型</w:t>
      </w:r>
    </w:p>
    <w:p>
      <w:r>
        <w:rPr>
          <w:rFonts w:ascii="宋体" w:hAnsi="宋体" w:eastAsia="宋体"/>
          <w:b w:val="0"/>
          <w:sz w:val="22"/>
        </w:rPr>
        <w:t>Rockwood K, Song X, MacKnight C, et al. A global clinical measure of fitness and frailty in elderly people.</w:t>
      </w:r>
    </w:p>
    <w:p>
      <w:r>
        <w:rPr>
          <w:rFonts w:ascii="宋体" w:hAnsi="宋体" w:eastAsia="宋体"/>
          <w:b w:val="0"/>
          <w:sz w:val="22"/>
        </w:rPr>
        <w:t>CMAJ. 2005;173(5):489-495.</w:t>
      </w:r>
    </w:p>
    <w:p>
      <w:r>
        <w:rPr>
          <w:rFonts w:ascii="宋体" w:hAnsi="宋体" w:eastAsia="宋体"/>
          <w:b w:val="0"/>
          <w:sz w:val="22"/>
        </w:rPr>
        <w:t>• 提出临床衰弱量表（CFS）1-9级评分</w:t>
      </w:r>
    </w:p>
    <w:p>
      <w:r>
        <w:rPr>
          <w:rFonts w:ascii="宋体" w:hAnsi="宋体" w:eastAsia="宋体"/>
          <w:b w:val="0"/>
          <w:sz w:val="22"/>
        </w:rPr>
        <w:t>• 基于70项健康缺陷的累积</w:t>
      </w:r>
    </w:p>
    <w:p>
      <w:r>
        <w:rPr>
          <w:rFonts w:ascii="宋体" w:hAnsi="宋体" w:eastAsia="宋体"/>
          <w:b w:val="0"/>
          <w:sz w:val="22"/>
        </w:rPr>
        <w:t>• 适用于住院和急性照护场景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13.3 FRAIL量表开发</w:t>
      </w:r>
    </w:p>
    <w:p>
      <w:r>
        <w:rPr>
          <w:rFonts w:ascii="宋体" w:hAnsi="宋体" w:eastAsia="宋体"/>
          <w:b w:val="0"/>
          <w:sz w:val="22"/>
        </w:rPr>
        <w:t>Morley JE, Malmstrom TK, Miller DK. A simple frailty questionnaire (FRAIL) predicts outcomes in middle aged African Americans.</w:t>
      </w:r>
    </w:p>
    <w:p>
      <w:r>
        <w:rPr>
          <w:rFonts w:ascii="宋体" w:hAnsi="宋体" w:eastAsia="宋体"/>
          <w:b w:val="0"/>
          <w:sz w:val="22"/>
        </w:rPr>
        <w:t>J Nutr Health Aging. 2012;16(7):601-608.</w:t>
      </w:r>
    </w:p>
    <w:p>
      <w:r>
        <w:rPr>
          <w:rFonts w:ascii="宋体" w:hAnsi="宋体" w:eastAsia="宋体"/>
          <w:b w:val="0"/>
          <w:sz w:val="22"/>
        </w:rPr>
        <w:t>• 5个问题的快速筛查工具</w:t>
      </w:r>
    </w:p>
    <w:p>
      <w:r>
        <w:rPr>
          <w:rFonts w:ascii="宋体" w:hAnsi="宋体" w:eastAsia="宋体"/>
          <w:b w:val="0"/>
          <w:sz w:val="22"/>
        </w:rPr>
        <w:t>• 每个"是"得1分，≥3分为衰弱</w:t>
      </w:r>
    </w:p>
    <w:p>
      <w:r>
        <w:rPr>
          <w:rFonts w:ascii="宋体" w:hAnsi="宋体" w:eastAsia="宋体"/>
          <w:b w:val="0"/>
          <w:sz w:val="22"/>
        </w:rPr>
        <w:t>• 适合门诊快速筛查，耗时&lt;1分钟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13.4 衰弱与不良结局的系统综述</w:t>
      </w:r>
    </w:p>
    <w:p>
      <w:r>
        <w:rPr>
          <w:rFonts w:ascii="宋体" w:hAnsi="宋体" w:eastAsia="宋体"/>
          <w:b w:val="0"/>
          <w:sz w:val="22"/>
        </w:rPr>
        <w:t>Sternberg SA, Schwartz AW, Karunananthan S, et al. The identification of frailty: a systematic literature review.</w:t>
      </w:r>
    </w:p>
    <w:p>
      <w:r>
        <w:rPr>
          <w:rFonts w:ascii="宋体" w:hAnsi="宋体" w:eastAsia="宋体"/>
          <w:b w:val="0"/>
          <w:sz w:val="22"/>
        </w:rPr>
        <w:t>J Am Geriatr Soc. 2011;59(11):2129-2138.</w:t>
      </w:r>
    </w:p>
    <w:p>
      <w:r>
        <w:rPr>
          <w:rFonts w:ascii="宋体" w:hAnsi="宋体" w:eastAsia="宋体"/>
          <w:b w:val="0"/>
          <w:sz w:val="22"/>
        </w:rPr>
        <w:t>• 系统回顾了2000-2010年间67项衰弱研究</w:t>
      </w:r>
    </w:p>
    <w:p>
      <w:r>
        <w:rPr>
          <w:rFonts w:ascii="宋体" w:hAnsi="宋体" w:eastAsia="宋体"/>
          <w:b w:val="0"/>
          <w:sz w:val="22"/>
        </w:rPr>
        <w:t>• 比较了不同评估工具的预测效度</w:t>
      </w:r>
    </w:p>
    <w:p>
      <w:r>
        <w:rPr>
          <w:rFonts w:ascii="宋体" w:hAnsi="宋体" w:eastAsia="宋体"/>
          <w:b w:val="0"/>
          <w:sz w:val="22"/>
        </w:rPr>
        <w:t>• 结论：Fried表型和累积缺陷模型预测效度最佳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13.5 衰弱预防与干预国际共识</w:t>
      </w:r>
    </w:p>
    <w:p>
      <w:r>
        <w:rPr>
          <w:rFonts w:ascii="宋体" w:hAnsi="宋体" w:eastAsia="宋体"/>
          <w:b w:val="0"/>
          <w:sz w:val="22"/>
        </w:rPr>
        <w:t>Morley JE, Vellas B, van Kan GA, et al. Frailty consensus: a call to action.</w:t>
      </w:r>
    </w:p>
    <w:p>
      <w:r>
        <w:rPr>
          <w:rFonts w:ascii="宋体" w:hAnsi="宋体" w:eastAsia="宋体"/>
          <w:b w:val="0"/>
          <w:sz w:val="22"/>
        </w:rPr>
        <w:t>J Am Med Dir Assoc. 2013;14(6):392-397.</w:t>
      </w:r>
    </w:p>
    <w:p>
      <w:r>
        <w:rPr>
          <w:rFonts w:ascii="宋体" w:hAnsi="宋体" w:eastAsia="宋体"/>
          <w:b w:val="0"/>
          <w:sz w:val="22"/>
        </w:rPr>
        <w:t>• 国际老年医学和营养学会联合发布</w:t>
      </w:r>
    </w:p>
    <w:p>
      <w:r>
        <w:rPr>
          <w:rFonts w:ascii="宋体" w:hAnsi="宋体" w:eastAsia="宋体"/>
          <w:b w:val="0"/>
          <w:sz w:val="22"/>
        </w:rPr>
        <w:t>• 提出衰弱筛查的最低数据集</w:t>
      </w:r>
    </w:p>
    <w:p>
      <w:r>
        <w:rPr>
          <w:rFonts w:ascii="宋体" w:hAnsi="宋体" w:eastAsia="宋体"/>
          <w:b w:val="0"/>
          <w:sz w:val="22"/>
        </w:rPr>
        <w:t>• 强调多学科团队协作干预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13.6 衰弱与手术预后</w:t>
      </w:r>
    </w:p>
    <w:p>
      <w:r>
        <w:rPr>
          <w:rFonts w:ascii="宋体" w:hAnsi="宋体" w:eastAsia="宋体"/>
          <w:b w:val="0"/>
          <w:sz w:val="22"/>
        </w:rPr>
        <w:t>Makary MA, Segev DL, Pronovost PJ, et al. Frailty as a predictor of surgical outcomes in older patients.</w:t>
      </w:r>
    </w:p>
    <w:p>
      <w:r>
        <w:rPr>
          <w:rFonts w:ascii="宋体" w:hAnsi="宋体" w:eastAsia="宋体"/>
          <w:b w:val="0"/>
          <w:sz w:val="22"/>
        </w:rPr>
        <w:t>J Am Coll Surg. 2010;210(6):901-908.</w:t>
      </w:r>
    </w:p>
    <w:p>
      <w:r>
        <w:rPr>
          <w:rFonts w:ascii="宋体" w:hAnsi="宋体" w:eastAsia="宋体"/>
          <w:b w:val="0"/>
          <w:sz w:val="22"/>
        </w:rPr>
        <w:t>• 前瞻性研究，592例≥65岁手术患者</w:t>
      </w:r>
    </w:p>
    <w:p>
      <w:r>
        <w:rPr>
          <w:rFonts w:ascii="宋体" w:hAnsi="宋体" w:eastAsia="宋体"/>
          <w:b w:val="0"/>
          <w:sz w:val="22"/>
        </w:rPr>
        <w:t>• 衰弱患者术后并发症增加2-3倍</w:t>
      </w:r>
    </w:p>
    <w:p>
      <w:r>
        <w:rPr>
          <w:rFonts w:ascii="宋体" w:hAnsi="宋体" w:eastAsia="宋体"/>
          <w:b w:val="0"/>
          <w:sz w:val="22"/>
        </w:rPr>
        <w:t>• 提出术前衰弱评估的必要性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13.7 衰弱与ICU预后</w:t>
      </w:r>
    </w:p>
    <w:p>
      <w:r>
        <w:rPr>
          <w:rFonts w:ascii="宋体" w:hAnsi="宋体" w:eastAsia="宋体"/>
          <w:b w:val="0"/>
          <w:sz w:val="22"/>
        </w:rPr>
        <w:t>Bagshaw SM, Stelfox HT, McDermid RC, et al. Association between frailty and short- and long-term outcomes among critically ill patients: a multicentre prospective cohort study.</w:t>
      </w:r>
    </w:p>
    <w:p>
      <w:r>
        <w:rPr>
          <w:rFonts w:ascii="宋体" w:hAnsi="宋体" w:eastAsia="宋体"/>
          <w:b w:val="0"/>
          <w:sz w:val="22"/>
        </w:rPr>
        <w:t>CMAJ. 2014;186(2):E95-E102.</w:t>
      </w:r>
    </w:p>
    <w:p>
      <w:r>
        <w:rPr>
          <w:rFonts w:ascii="宋体" w:hAnsi="宋体" w:eastAsia="宋体"/>
          <w:b w:val="0"/>
          <w:sz w:val="22"/>
        </w:rPr>
        <w:t>• 加拿大24个ICU，16802例患者</w:t>
      </w:r>
    </w:p>
    <w:p>
      <w:r>
        <w:rPr>
          <w:rFonts w:ascii="宋体" w:hAnsi="宋体" w:eastAsia="宋体"/>
          <w:b w:val="0"/>
          <w:sz w:val="22"/>
        </w:rPr>
        <w:t>• 衰弱与ICU死亡率、住院时间、再入院率显著相关</w:t>
      </w:r>
    </w:p>
    <w:p>
      <w:r>
        <w:rPr>
          <w:rFonts w:ascii="宋体" w:hAnsi="宋体" w:eastAsia="宋体"/>
          <w:b w:val="0"/>
          <w:sz w:val="22"/>
        </w:rPr>
        <w:t>• 建议ICU常规进行衰弱评估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13.8 衰弱与认知功能</w:t>
      </w:r>
    </w:p>
    <w:p>
      <w:r>
        <w:rPr>
          <w:rFonts w:ascii="宋体" w:hAnsi="宋体" w:eastAsia="宋体"/>
          <w:b w:val="0"/>
          <w:sz w:val="22"/>
        </w:rPr>
        <w:t>Buchman AS, Wilson RS, Bienias JL, et al. Change in frailty and risk of death in older persons.</w:t>
      </w:r>
    </w:p>
    <w:p>
      <w:r>
        <w:rPr>
          <w:rFonts w:ascii="宋体" w:hAnsi="宋体" w:eastAsia="宋体"/>
          <w:b w:val="0"/>
          <w:sz w:val="22"/>
        </w:rPr>
        <w:t>Am J Geriatr Psychiatry. 2009;17(5):416-421.</w:t>
      </w:r>
    </w:p>
    <w:p>
      <w:r>
        <w:rPr>
          <w:rFonts w:ascii="宋体" w:hAnsi="宋体" w:eastAsia="宋体"/>
          <w:b w:val="0"/>
          <w:sz w:val="22"/>
        </w:rPr>
        <w:t>• Rush Memory and Aging Project数据</w:t>
      </w:r>
    </w:p>
    <w:p>
      <w:r>
        <w:rPr>
          <w:rFonts w:ascii="宋体" w:hAnsi="宋体" w:eastAsia="宋体"/>
          <w:b w:val="0"/>
          <w:sz w:val="22"/>
        </w:rPr>
        <w:t>• 衰弱与认知功能下降相互关联</w:t>
      </w:r>
    </w:p>
    <w:p>
      <w:r>
        <w:rPr>
          <w:rFonts w:ascii="宋体" w:hAnsi="宋体" w:eastAsia="宋体"/>
          <w:b w:val="0"/>
          <w:sz w:val="22"/>
        </w:rPr>
        <w:t>• 提出"认知衰弱"（cognitive frailty）概念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十四、中国指南与专家共识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14.1 中国老年衰弱评估与干预专家共识</w:t>
      </w:r>
    </w:p>
    <w:p>
      <w:r>
        <w:rPr>
          <w:rFonts w:ascii="宋体" w:hAnsi="宋体" w:eastAsia="宋体"/>
          <w:b w:val="0"/>
          <w:sz w:val="22"/>
        </w:rPr>
        <w:t>中华医学会老年医学分会. 中国老年衰弱评估与干预专家共识.</w:t>
      </w:r>
    </w:p>
    <w:p>
      <w:r>
        <w:rPr>
          <w:rFonts w:ascii="宋体" w:hAnsi="宋体" w:eastAsia="宋体"/>
          <w:b w:val="0"/>
          <w:sz w:val="22"/>
        </w:rPr>
        <w:t>中华老年医学杂志. 2023;42(1):1-10.</w:t>
      </w:r>
    </w:p>
    <w:p>
      <w:r>
        <w:rPr>
          <w:rFonts w:ascii="宋体" w:hAnsi="宋体" w:eastAsia="宋体"/>
          <w:b w:val="0"/>
          <w:sz w:val="22"/>
        </w:rPr>
        <w:t>• 基于中国老年人群数据制定</w:t>
      </w:r>
    </w:p>
    <w:p>
      <w:r>
        <w:rPr>
          <w:rFonts w:ascii="宋体" w:hAnsi="宋体" w:eastAsia="宋体"/>
          <w:b w:val="0"/>
          <w:sz w:val="22"/>
        </w:rPr>
        <w:t>• 推荐Fried表型作为首选评估工具</w:t>
      </w:r>
    </w:p>
    <w:p>
      <w:r>
        <w:rPr>
          <w:rFonts w:ascii="宋体" w:hAnsi="宋体" w:eastAsia="宋体"/>
          <w:b w:val="0"/>
          <w:sz w:val="22"/>
        </w:rPr>
        <w:t>• 结合中国国情调整部分参考值</w:t>
      </w:r>
    </w:p>
    <w:p>
      <w:r>
        <w:rPr>
          <w:rFonts w:ascii="宋体" w:hAnsi="宋体" w:eastAsia="宋体"/>
          <w:b w:val="0"/>
          <w:sz w:val="22"/>
        </w:rPr>
        <w:t>• 提出"衰弱门诊"建设标准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14.2 老年衰弱门诊建设专家共识</w:t>
      </w:r>
    </w:p>
    <w:p>
      <w:r>
        <w:rPr>
          <w:rFonts w:ascii="宋体" w:hAnsi="宋体" w:eastAsia="宋体"/>
          <w:b w:val="0"/>
          <w:sz w:val="22"/>
        </w:rPr>
        <w:t>中华医学会老年医学分会. 老年衰弱门诊建设专家共识.</w:t>
      </w:r>
    </w:p>
    <w:p>
      <w:r>
        <w:rPr>
          <w:rFonts w:ascii="宋体" w:hAnsi="宋体" w:eastAsia="宋体"/>
          <w:b w:val="0"/>
          <w:sz w:val="22"/>
        </w:rPr>
        <w:t>中华老年医学杂志. 2024;43(2):121-128.</w:t>
      </w:r>
    </w:p>
    <w:p>
      <w:r>
        <w:rPr>
          <w:rFonts w:ascii="宋体" w:hAnsi="宋体" w:eastAsia="宋体"/>
          <w:b w:val="0"/>
          <w:sz w:val="22"/>
        </w:rPr>
        <w:t>• 衰弱门诊的功能定位</w:t>
      </w:r>
    </w:p>
    <w:p>
      <w:r>
        <w:rPr>
          <w:rFonts w:ascii="宋体" w:hAnsi="宋体" w:eastAsia="宋体"/>
          <w:b w:val="0"/>
          <w:sz w:val="22"/>
        </w:rPr>
        <w:t>• 人员配置：老年科医生、营养师、康复师、药师</w:t>
      </w:r>
    </w:p>
    <w:p>
      <w:r>
        <w:rPr>
          <w:rFonts w:ascii="宋体" w:hAnsi="宋体" w:eastAsia="宋体"/>
          <w:b w:val="0"/>
          <w:sz w:val="22"/>
        </w:rPr>
        <w:t>• 评估流程标准化</w:t>
      </w:r>
    </w:p>
    <w:p>
      <w:r>
        <w:rPr>
          <w:rFonts w:ascii="宋体" w:hAnsi="宋体" w:eastAsia="宋体"/>
          <w:b w:val="0"/>
          <w:sz w:val="22"/>
        </w:rPr>
        <w:t>• 信息化系统建设要求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14.3 中国老年患者围手术期衰弱管理专家共识</w:t>
      </w:r>
    </w:p>
    <w:p>
      <w:r>
        <w:rPr>
          <w:rFonts w:ascii="宋体" w:hAnsi="宋体" w:eastAsia="宋体"/>
          <w:b w:val="0"/>
          <w:sz w:val="22"/>
        </w:rPr>
        <w:t>中华医学会麻醉学分会, 中华医学会老年医学分会.</w:t>
      </w:r>
    </w:p>
    <w:p>
      <w:r>
        <w:rPr>
          <w:rFonts w:ascii="宋体" w:hAnsi="宋体" w:eastAsia="宋体"/>
          <w:b w:val="0"/>
          <w:sz w:val="22"/>
        </w:rPr>
        <w:t>中华麻醉学杂志. 2023;43(5):513-520.</w:t>
      </w:r>
    </w:p>
    <w:p>
      <w:r>
        <w:rPr>
          <w:rFonts w:ascii="宋体" w:hAnsi="宋体" w:eastAsia="宋体"/>
          <w:b w:val="0"/>
          <w:sz w:val="22"/>
        </w:rPr>
        <w:t>• 术前衰弱筛查流程</w:t>
      </w:r>
    </w:p>
    <w:p>
      <w:r>
        <w:rPr>
          <w:rFonts w:ascii="宋体" w:hAnsi="宋体" w:eastAsia="宋体"/>
          <w:b w:val="0"/>
          <w:sz w:val="22"/>
        </w:rPr>
        <w:t>• 预康复（prehabilitation）方案</w:t>
      </w:r>
    </w:p>
    <w:p>
      <w:r>
        <w:rPr>
          <w:rFonts w:ascii="宋体" w:hAnsi="宋体" w:eastAsia="宋体"/>
          <w:b w:val="0"/>
          <w:sz w:val="22"/>
        </w:rPr>
        <w:t>• 术中管理要点</w:t>
      </w:r>
    </w:p>
    <w:p>
      <w:r>
        <w:rPr>
          <w:rFonts w:ascii="宋体" w:hAnsi="宋体" w:eastAsia="宋体"/>
          <w:b w:val="0"/>
          <w:sz w:val="22"/>
        </w:rPr>
        <w:t>• 术后加速康复（ERAS）结合衰弱管理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14.4 中国老年衰弱相关内分泌激素管理临床实践指南</w:t>
      </w:r>
    </w:p>
    <w:p>
      <w:r>
        <w:rPr>
          <w:rFonts w:ascii="宋体" w:hAnsi="宋体" w:eastAsia="宋体"/>
          <w:b w:val="0"/>
          <w:sz w:val="22"/>
        </w:rPr>
        <w:t>中华医学会老年医学分会内分泌代谢学组.</w:t>
      </w:r>
    </w:p>
    <w:p>
      <w:r>
        <w:rPr>
          <w:rFonts w:ascii="宋体" w:hAnsi="宋体" w:eastAsia="宋体"/>
          <w:b w:val="0"/>
          <w:sz w:val="22"/>
        </w:rPr>
        <w:t>中华老年医学杂志. 2023;42(8):865-874.</w:t>
      </w:r>
    </w:p>
    <w:p>
      <w:r>
        <w:rPr>
          <w:rFonts w:ascii="宋体" w:hAnsi="宋体" w:eastAsia="宋体"/>
          <w:b w:val="0"/>
          <w:sz w:val="22"/>
        </w:rPr>
        <w:t>• 生长激素、性激素、甲状腺激素与衰弱的关系</w:t>
      </w:r>
    </w:p>
    <w:p>
      <w:r>
        <w:rPr>
          <w:rFonts w:ascii="宋体" w:hAnsi="宋体" w:eastAsia="宋体"/>
          <w:b w:val="0"/>
          <w:sz w:val="22"/>
        </w:rPr>
        <w:t>• 激素替代治疗的适应证和禁忌证</w:t>
      </w:r>
    </w:p>
    <w:p>
      <w:r>
        <w:rPr>
          <w:rFonts w:ascii="宋体" w:hAnsi="宋体" w:eastAsia="宋体"/>
          <w:b w:val="0"/>
          <w:sz w:val="22"/>
        </w:rPr>
        <w:t>• 维生素D、甲状旁腺激素的监测</w:t>
      </w:r>
    </w:p>
    <w:p>
      <w:r>
        <w:rPr>
          <w:rFonts w:ascii="宋体" w:hAnsi="宋体" w:eastAsia="宋体"/>
          <w:b w:val="0"/>
          <w:sz w:val="22"/>
        </w:rPr>
        <w:t>• 糖尿病患者的衰弱管理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14.5 中国老年肌少症诊断与治疗专家共识</w:t>
      </w:r>
    </w:p>
    <w:p>
      <w:r>
        <w:rPr>
          <w:rFonts w:ascii="宋体" w:hAnsi="宋体" w:eastAsia="宋体"/>
          <w:b w:val="0"/>
          <w:sz w:val="22"/>
        </w:rPr>
        <w:t>中华医学会老年医学分会. 中国老年肌少症诊断与治疗专家共识.</w:t>
      </w:r>
    </w:p>
    <w:p>
      <w:r>
        <w:rPr>
          <w:rFonts w:ascii="宋体" w:hAnsi="宋体" w:eastAsia="宋体"/>
          <w:b w:val="0"/>
          <w:sz w:val="22"/>
        </w:rPr>
        <w:t>中华老年医学杂志. 2021;40(8):953-961.</w:t>
      </w:r>
    </w:p>
    <w:p>
      <w:r>
        <w:rPr>
          <w:rFonts w:ascii="宋体" w:hAnsi="宋体" w:eastAsia="宋体"/>
          <w:b w:val="0"/>
          <w:sz w:val="22"/>
        </w:rPr>
        <w:t>• 肌少症与衰弱的关系</w:t>
      </w:r>
    </w:p>
    <w:p>
      <w:r>
        <w:rPr>
          <w:rFonts w:ascii="宋体" w:hAnsi="宋体" w:eastAsia="宋体"/>
          <w:b w:val="0"/>
          <w:sz w:val="22"/>
        </w:rPr>
        <w:t>• EWGSOP2诊断标准的中国化应用</w:t>
      </w:r>
    </w:p>
    <w:p>
      <w:r>
        <w:rPr>
          <w:rFonts w:ascii="宋体" w:hAnsi="宋体" w:eastAsia="宋体"/>
          <w:b w:val="0"/>
          <w:sz w:val="22"/>
        </w:rPr>
        <w:t>• 蛋白质补充和运动干预方案</w:t>
      </w:r>
    </w:p>
    <w:p>
      <w:r>
        <w:rPr>
          <w:rFonts w:ascii="宋体" w:hAnsi="宋体" w:eastAsia="宋体"/>
          <w:b w:val="0"/>
          <w:sz w:val="22"/>
        </w:rPr>
        <w:t>• 药物治疗进展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14.6 中国老年人膳食指南</w:t>
      </w:r>
    </w:p>
    <w:p>
      <w:r>
        <w:rPr>
          <w:rFonts w:ascii="宋体" w:hAnsi="宋体" w:eastAsia="宋体"/>
          <w:b w:val="0"/>
          <w:sz w:val="22"/>
        </w:rPr>
        <w:t>中国营养学会. 中国老年人膳食指南（2022）.</w:t>
      </w:r>
    </w:p>
    <w:p>
      <w:r>
        <w:rPr>
          <w:rFonts w:ascii="宋体" w:hAnsi="宋体" w:eastAsia="宋体"/>
          <w:b w:val="0"/>
          <w:sz w:val="22"/>
        </w:rPr>
        <w:t>人民卫生出版社. 2022.</w:t>
      </w:r>
    </w:p>
    <w:p>
      <w:r>
        <w:rPr>
          <w:rFonts w:ascii="宋体" w:hAnsi="宋体" w:eastAsia="宋体"/>
          <w:b w:val="0"/>
          <w:sz w:val="22"/>
        </w:rPr>
        <w:t>• 老年人营养需求特点</w:t>
      </w:r>
    </w:p>
    <w:p>
      <w:r>
        <w:rPr>
          <w:rFonts w:ascii="宋体" w:hAnsi="宋体" w:eastAsia="宋体"/>
          <w:b w:val="0"/>
          <w:sz w:val="22"/>
        </w:rPr>
        <w:t>• 蛋白质、钙、维生素D摄入推荐</w:t>
      </w:r>
    </w:p>
    <w:p>
      <w:r>
        <w:rPr>
          <w:rFonts w:ascii="宋体" w:hAnsi="宋体" w:eastAsia="宋体"/>
          <w:b w:val="0"/>
          <w:sz w:val="22"/>
        </w:rPr>
        <w:t>• 膳食模式（地中海饮食、DASH饮食）</w:t>
      </w:r>
    </w:p>
    <w:p>
      <w:r>
        <w:rPr>
          <w:rFonts w:ascii="宋体" w:hAnsi="宋体" w:eastAsia="宋体"/>
          <w:b w:val="0"/>
          <w:sz w:val="22"/>
        </w:rPr>
        <w:t>• 营养不良筛查（MNA-SF）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14.7 中国老年人跌倒预防指南</w:t>
      </w:r>
    </w:p>
    <w:p>
      <w:r>
        <w:rPr>
          <w:rFonts w:ascii="宋体" w:hAnsi="宋体" w:eastAsia="宋体"/>
          <w:b w:val="0"/>
          <w:sz w:val="22"/>
        </w:rPr>
        <w:t>中华医学会老年医学分会. 中国老年人跌倒预防指南.</w:t>
      </w:r>
    </w:p>
    <w:p>
      <w:r>
        <w:rPr>
          <w:rFonts w:ascii="宋体" w:hAnsi="宋体" w:eastAsia="宋体"/>
          <w:b w:val="0"/>
          <w:sz w:val="22"/>
        </w:rPr>
        <w:t>中华老年医学杂志. 2022;41(5):512-520.</w:t>
      </w:r>
    </w:p>
    <w:p>
      <w:r>
        <w:rPr>
          <w:rFonts w:ascii="宋体" w:hAnsi="宋体" w:eastAsia="宋体"/>
          <w:b w:val="0"/>
          <w:sz w:val="22"/>
        </w:rPr>
        <w:t>• 跌倒风险评估工具</w:t>
      </w:r>
    </w:p>
    <w:p>
      <w:r>
        <w:rPr>
          <w:rFonts w:ascii="宋体" w:hAnsi="宋体" w:eastAsia="宋体"/>
          <w:b w:val="0"/>
          <w:sz w:val="22"/>
        </w:rPr>
        <w:t>• 环境改造标准</w:t>
      </w:r>
    </w:p>
    <w:p>
      <w:r>
        <w:rPr>
          <w:rFonts w:ascii="宋体" w:hAnsi="宋体" w:eastAsia="宋体"/>
          <w:b w:val="0"/>
          <w:sz w:val="22"/>
        </w:rPr>
        <w:t>• 药物相关跌倒</w:t>
      </w:r>
    </w:p>
    <w:p>
      <w:r>
        <w:rPr>
          <w:rFonts w:ascii="宋体" w:hAnsi="宋体" w:eastAsia="宋体"/>
          <w:b w:val="0"/>
          <w:sz w:val="22"/>
        </w:rPr>
        <w:t>• 平衡训练和力量训练方案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十五、干预与康复RCT研究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15.1 运动干预系统综述</w:t>
      </w:r>
    </w:p>
    <w:p>
      <w:r>
        <w:rPr>
          <w:rFonts w:ascii="宋体" w:hAnsi="宋体" w:eastAsia="宋体"/>
          <w:b w:val="0"/>
          <w:sz w:val="22"/>
        </w:rPr>
        <w:t>Cadore EL, Rodriguez-Manas L, Sinclair A, et al. Effects of different exercise interventions on risk of falls, gait ability, and balance in physically frail older adults: a systematic review.</w:t>
      </w:r>
    </w:p>
    <w:p>
      <w:r>
        <w:rPr>
          <w:rFonts w:ascii="宋体" w:hAnsi="宋体" w:eastAsia="宋体"/>
          <w:b w:val="0"/>
          <w:sz w:val="22"/>
        </w:rPr>
        <w:t>Rejuvenation Res. 2013;16(2):105-114.</w:t>
      </w:r>
    </w:p>
    <w:p>
      <w:r>
        <w:rPr>
          <w:rFonts w:ascii="宋体" w:hAnsi="宋体" w:eastAsia="宋体"/>
          <w:b w:val="0"/>
          <w:sz w:val="22"/>
        </w:rPr>
        <w:t>• 纳入15项RCT，共1123例衰弱老年人</w:t>
      </w:r>
    </w:p>
    <w:p>
      <w:r>
        <w:rPr>
          <w:rFonts w:ascii="宋体" w:hAnsi="宋体" w:eastAsia="宋体"/>
          <w:b w:val="0"/>
          <w:sz w:val="22"/>
        </w:rPr>
        <w:t>• 抗阻训练+平衡训练效果最佳</w:t>
      </w:r>
    </w:p>
    <w:p>
      <w:r>
        <w:rPr>
          <w:rFonts w:ascii="宋体" w:hAnsi="宋体" w:eastAsia="宋体"/>
          <w:b w:val="0"/>
          <w:sz w:val="22"/>
        </w:rPr>
        <w:t>• 每周≥2次，持续≥12周可见显著改善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15.2 营养干预RCT</w:t>
      </w:r>
    </w:p>
    <w:p>
      <w:r>
        <w:rPr>
          <w:rFonts w:ascii="宋体" w:hAnsi="宋体" w:eastAsia="宋体"/>
          <w:b w:val="0"/>
          <w:sz w:val="22"/>
        </w:rPr>
        <w:t>Rondanelli M, Opizzi A, Giacosa A, et al. Effect of essential amino acid supplementation on quality of life, physical function and muscle strength in frail elderly.</w:t>
      </w:r>
    </w:p>
    <w:p>
      <w:r>
        <w:rPr>
          <w:rFonts w:ascii="宋体" w:hAnsi="宋体" w:eastAsia="宋体"/>
          <w:b w:val="0"/>
          <w:sz w:val="22"/>
        </w:rPr>
        <w:t>Clin Nutr. 2011;30(5):571-577.</w:t>
      </w:r>
    </w:p>
    <w:p>
      <w:r>
        <w:rPr>
          <w:rFonts w:ascii="宋体" w:hAnsi="宋体" w:eastAsia="宋体"/>
          <w:b w:val="0"/>
          <w:sz w:val="22"/>
        </w:rPr>
        <w:t>• 意大利多中心RCT，149例衰弱老年人</w:t>
      </w:r>
    </w:p>
    <w:p>
      <w:r>
        <w:rPr>
          <w:rFonts w:ascii="宋体" w:hAnsi="宋体" w:eastAsia="宋体"/>
          <w:b w:val="0"/>
          <w:sz w:val="22"/>
        </w:rPr>
        <w:t>• 必需氨基酸补充（8g/日）+维生素D</w:t>
      </w:r>
    </w:p>
    <w:p>
      <w:r>
        <w:rPr>
          <w:rFonts w:ascii="宋体" w:hAnsi="宋体" w:eastAsia="宋体"/>
          <w:b w:val="0"/>
          <w:sz w:val="22"/>
        </w:rPr>
        <w:t>• 12周后握力增加18%，步速提高12%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15.3 综合干预（FORTIC研究）</w:t>
      </w:r>
    </w:p>
    <w:p>
      <w:r>
        <w:rPr>
          <w:rFonts w:ascii="宋体" w:hAnsi="宋体" w:eastAsia="宋体"/>
          <w:b w:val="0"/>
          <w:sz w:val="22"/>
        </w:rPr>
        <w:t>Faber MJ, Bosscher RJ, Chin APMJ, et al. Effects of exercise programs on falls and mobility in frail and pre-frail older adults: a multicenter randomized controlled trial.</w:t>
      </w:r>
    </w:p>
    <w:p>
      <w:r>
        <w:rPr>
          <w:rFonts w:ascii="宋体" w:hAnsi="宋体" w:eastAsia="宋体"/>
          <w:b w:val="0"/>
          <w:sz w:val="22"/>
        </w:rPr>
        <w:t>Arch Phys Med Rehabil. 2006;87(7):885-896.</w:t>
      </w:r>
    </w:p>
    <w:p>
      <w:r>
        <w:rPr>
          <w:rFonts w:ascii="宋体" w:hAnsi="宋体" w:eastAsia="宋体"/>
          <w:b w:val="0"/>
          <w:sz w:val="22"/>
        </w:rPr>
        <w:t>• 荷兰多中心RCT，217例衰弱/衰弱前期</w:t>
      </w:r>
    </w:p>
    <w:p>
      <w:r>
        <w:rPr>
          <w:rFonts w:ascii="宋体" w:hAnsi="宋体" w:eastAsia="宋体"/>
          <w:b w:val="0"/>
          <w:sz w:val="22"/>
        </w:rPr>
        <w:t>• 综合干预：运动+营养+认知训练</w:t>
      </w:r>
    </w:p>
    <w:p>
      <w:r>
        <w:rPr>
          <w:rFonts w:ascii="宋体" w:hAnsi="宋体" w:eastAsia="宋体"/>
          <w:b w:val="0"/>
          <w:sz w:val="22"/>
        </w:rPr>
        <w:t>• 16周后跌倒风险降低35%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15.4 衰弱逆转可能性研究</w:t>
      </w:r>
    </w:p>
    <w:p>
      <w:r>
        <w:rPr>
          <w:rFonts w:ascii="宋体" w:hAnsi="宋体" w:eastAsia="宋体"/>
          <w:b w:val="0"/>
          <w:sz w:val="22"/>
        </w:rPr>
        <w:t>Gill TM, Gahbauer EA, Allore HG, et al. Transitions between frailty states among community-living older persons.</w:t>
      </w:r>
    </w:p>
    <w:p>
      <w:r>
        <w:rPr>
          <w:rFonts w:ascii="宋体" w:hAnsi="宋体" w:eastAsia="宋体"/>
          <w:b w:val="0"/>
          <w:sz w:val="22"/>
        </w:rPr>
        <w:t>Arch Intern Med. 2006;166(4):418-423.</w:t>
      </w:r>
    </w:p>
    <w:p>
      <w:r>
        <w:rPr>
          <w:rFonts w:ascii="宋体" w:hAnsi="宋体" w:eastAsia="宋体"/>
          <w:b w:val="0"/>
          <w:sz w:val="22"/>
        </w:rPr>
        <w:t>• 耶鲁大学纵向研究，754例社区老年人</w:t>
      </w:r>
    </w:p>
    <w:p>
      <w:r>
        <w:rPr>
          <w:rFonts w:ascii="宋体" w:hAnsi="宋体" w:eastAsia="宋体"/>
          <w:b w:val="0"/>
          <w:sz w:val="22"/>
        </w:rPr>
        <w:t>• 衰弱状态可逆：43%的衰弱者在3年内改善</w:t>
      </w:r>
    </w:p>
    <w:p>
      <w:r>
        <w:rPr>
          <w:rFonts w:ascii="宋体" w:hAnsi="宋体" w:eastAsia="宋体"/>
          <w:b w:val="0"/>
          <w:sz w:val="22"/>
        </w:rPr>
        <w:t>• 预测逆转因素：运动、社会支持、无抑郁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15.5 预康复研究（PREHAB）</w:t>
      </w:r>
    </w:p>
    <w:p>
      <w:r>
        <w:rPr>
          <w:rFonts w:ascii="宋体" w:hAnsi="宋体" w:eastAsia="宋体"/>
          <w:b w:val="0"/>
          <w:sz w:val="22"/>
        </w:rPr>
        <w:t>Barberan-Garcia A, Ubré M, Roca J, et al. Personalised prehabilitation in high-risk patients undergoing elective major abdominal surgery: a randomized blinded controlled trial.</w:t>
      </w:r>
    </w:p>
    <w:p>
      <w:r>
        <w:rPr>
          <w:rFonts w:ascii="宋体" w:hAnsi="宋体" w:eastAsia="宋体"/>
          <w:b w:val="0"/>
          <w:sz w:val="22"/>
        </w:rPr>
        <w:t>Ann Surg. 2018;267(1):50-56.</w:t>
      </w:r>
    </w:p>
    <w:p>
      <w:r>
        <w:rPr>
          <w:rFonts w:ascii="宋体" w:hAnsi="宋体" w:eastAsia="宋体"/>
          <w:b w:val="0"/>
          <w:sz w:val="22"/>
        </w:rPr>
        <w:t>• 西班牙RCT，71例重大腹部手术患者</w:t>
      </w:r>
    </w:p>
    <w:p>
      <w:r>
        <w:rPr>
          <w:rFonts w:ascii="宋体" w:hAnsi="宋体" w:eastAsia="宋体"/>
          <w:b w:val="0"/>
          <w:sz w:val="22"/>
        </w:rPr>
        <w:t>• 术前2-4周：运动+营养+心理支持</w:t>
      </w:r>
    </w:p>
    <w:p>
      <w:r>
        <w:rPr>
          <w:rFonts w:ascii="宋体" w:hAnsi="宋体" w:eastAsia="宋体"/>
          <w:b w:val="0"/>
          <w:sz w:val="22"/>
        </w:rPr>
        <w:t>• 术后并发症降低51%，住院时间缩短2.7天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十六、衰弱与特定疾病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16.1 衰弱与心力衰竭</w:t>
      </w:r>
    </w:p>
    <w:p>
      <w:r>
        <w:rPr>
          <w:rFonts w:ascii="宋体" w:hAnsi="宋体" w:eastAsia="宋体"/>
          <w:b w:val="0"/>
          <w:sz w:val="22"/>
        </w:rPr>
        <w:t>Uchmanowicz I, Jankowska-Polanska B, Loboz-Grudzien K, et al. Frailty syndrome in elderly patients with heart failure.</w:t>
      </w:r>
    </w:p>
    <w:p>
      <w:r>
        <w:rPr>
          <w:rFonts w:ascii="宋体" w:hAnsi="宋体" w:eastAsia="宋体"/>
          <w:b w:val="0"/>
          <w:sz w:val="22"/>
        </w:rPr>
        <w:t>Eur J Cardiovasc Nurs. 2014;13(6):562-570.</w:t>
      </w:r>
    </w:p>
    <w:p>
      <w:r>
        <w:rPr>
          <w:rFonts w:ascii="宋体" w:hAnsi="宋体" w:eastAsia="宋体"/>
          <w:b w:val="0"/>
          <w:sz w:val="22"/>
        </w:rPr>
        <w:t>• 心衰患者衰弱患病率40-60%</w:t>
      </w:r>
    </w:p>
    <w:p>
      <w:r>
        <w:rPr>
          <w:rFonts w:ascii="宋体" w:hAnsi="宋体" w:eastAsia="宋体"/>
          <w:b w:val="0"/>
          <w:sz w:val="22"/>
        </w:rPr>
        <w:t>• 衰弱与心衰恶化相互促进</w:t>
      </w:r>
    </w:p>
    <w:p>
      <w:r>
        <w:rPr>
          <w:rFonts w:ascii="宋体" w:hAnsi="宋体" w:eastAsia="宋体"/>
          <w:b w:val="0"/>
          <w:sz w:val="22"/>
        </w:rPr>
        <w:t>• 建议心衰患者常规进行衰弱筛查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16.2 衰弱与慢性肾病</w:t>
      </w:r>
    </w:p>
    <w:p>
      <w:r>
        <w:rPr>
          <w:rFonts w:ascii="宋体" w:hAnsi="宋体" w:eastAsia="宋体"/>
          <w:b w:val="0"/>
          <w:sz w:val="22"/>
        </w:rPr>
        <w:t>Johansen KL, Dalrymple LS, Delgado C, et al. Association between frailty and cardiovascular outcomes in the National Health and Nutrition Examination Survey.</w:t>
      </w:r>
    </w:p>
    <w:p>
      <w:r>
        <w:rPr>
          <w:rFonts w:ascii="宋体" w:hAnsi="宋体" w:eastAsia="宋体"/>
          <w:b w:val="0"/>
          <w:sz w:val="22"/>
        </w:rPr>
        <w:t>J Am Geriatr Soc. 2013;61(4):570-576.</w:t>
      </w:r>
    </w:p>
    <w:p>
      <w:r>
        <w:rPr>
          <w:rFonts w:ascii="宋体" w:hAnsi="宋体" w:eastAsia="宋体"/>
          <w:b w:val="0"/>
          <w:sz w:val="22"/>
        </w:rPr>
        <w:t>• CKD患者衰弱患病率随eGFR下降而增加</w:t>
      </w:r>
    </w:p>
    <w:p>
      <w:r>
        <w:rPr>
          <w:rFonts w:ascii="宋体" w:hAnsi="宋体" w:eastAsia="宋体"/>
          <w:b w:val="0"/>
          <w:sz w:val="22"/>
        </w:rPr>
        <w:t>• 衰弱是CKD患者死亡的独立预测因子</w:t>
      </w:r>
    </w:p>
    <w:p>
      <w:r>
        <w:rPr>
          <w:rFonts w:ascii="宋体" w:hAnsi="宋体" w:eastAsia="宋体"/>
          <w:b w:val="0"/>
          <w:sz w:val="22"/>
        </w:rPr>
        <w:t>• 透析患者衰弱管理策略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16.3 衰弱与肿瘤</w:t>
      </w:r>
    </w:p>
    <w:p>
      <w:r>
        <w:rPr>
          <w:rFonts w:ascii="宋体" w:hAnsi="宋体" w:eastAsia="宋体"/>
          <w:b w:val="0"/>
          <w:sz w:val="22"/>
        </w:rPr>
        <w:t>Cruz-Jentoft AJ, Bahat G, Bauer J, et al. Sarcopenia: revised European consensus on definition and diagnosis.</w:t>
      </w:r>
    </w:p>
    <w:p>
      <w:r>
        <w:rPr>
          <w:rFonts w:ascii="宋体" w:hAnsi="宋体" w:eastAsia="宋体"/>
          <w:b w:val="0"/>
          <w:sz w:val="22"/>
        </w:rPr>
        <w:t>Age Ageing. 2019;48(1):16-31.</w:t>
      </w:r>
    </w:p>
    <w:p>
      <w:r>
        <w:rPr>
          <w:rFonts w:ascii="宋体" w:hAnsi="宋体" w:eastAsia="宋体"/>
          <w:b w:val="0"/>
          <w:sz w:val="22"/>
        </w:rPr>
        <w:t>• 肿瘤患者衰弱评估工具（CRASH、CARG评分）</w:t>
      </w:r>
    </w:p>
    <w:p>
      <w:r>
        <w:rPr>
          <w:rFonts w:ascii="宋体" w:hAnsi="宋体" w:eastAsia="宋体"/>
          <w:b w:val="0"/>
          <w:sz w:val="22"/>
        </w:rPr>
        <w:t>• 衰弱导向的化疗剂量调整</w:t>
      </w:r>
    </w:p>
    <w:p>
      <w:r>
        <w:rPr>
          <w:rFonts w:ascii="宋体" w:hAnsi="宋体" w:eastAsia="宋体"/>
          <w:b w:val="0"/>
          <w:sz w:val="22"/>
        </w:rPr>
        <w:t>• 肿瘤预康复方案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16.4 衰弱与糖尿病</w:t>
      </w:r>
    </w:p>
    <w:p>
      <w:r>
        <w:rPr>
          <w:rFonts w:ascii="宋体" w:hAnsi="宋体" w:eastAsia="宋体"/>
          <w:b w:val="0"/>
          <w:sz w:val="22"/>
        </w:rPr>
        <w:t>Rodriguez-Manas L, Fried LP. Frailty in the clinical scenario.</w:t>
      </w:r>
    </w:p>
    <w:p>
      <w:r>
        <w:rPr>
          <w:rFonts w:ascii="宋体" w:hAnsi="宋体" w:eastAsia="宋体"/>
          <w:b w:val="0"/>
          <w:sz w:val="22"/>
        </w:rPr>
        <w:t>Lancet. 2015;385(9968):e7-e9.</w:t>
      </w:r>
    </w:p>
    <w:p>
      <w:r>
        <w:rPr>
          <w:rFonts w:ascii="宋体" w:hAnsi="宋体" w:eastAsia="宋体"/>
          <w:b w:val="0"/>
          <w:sz w:val="22"/>
        </w:rPr>
        <w:t>• 糖尿病患者衰弱风险增加2-3倍</w:t>
      </w:r>
    </w:p>
    <w:p>
      <w:r>
        <w:rPr>
          <w:rFonts w:ascii="宋体" w:hAnsi="宋体" w:eastAsia="宋体"/>
          <w:b w:val="0"/>
          <w:sz w:val="22"/>
        </w:rPr>
        <w:t>• 低血糖与衰弱恶性循环</w:t>
      </w:r>
    </w:p>
    <w:p>
      <w:r>
        <w:rPr>
          <w:rFonts w:ascii="宋体" w:hAnsi="宋体" w:eastAsia="宋体"/>
          <w:b w:val="0"/>
          <w:sz w:val="22"/>
        </w:rPr>
        <w:t>• 个体化血糖控制目标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十七、评估工具详解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17.1 计时起立行走测试（TUGT）</w:t>
      </w:r>
    </w:p>
    <w:p>
      <w:r>
        <w:rPr>
          <w:rFonts w:ascii="宋体" w:hAnsi="宋体" w:eastAsia="宋体"/>
          <w:b w:val="0"/>
          <w:sz w:val="22"/>
        </w:rPr>
        <w:t>Podsiadlo D, Richardson S. The timed "Up &amp; Go": a test of basic functional mobility for frail elderly persons.</w:t>
      </w:r>
    </w:p>
    <w:p>
      <w:r>
        <w:rPr>
          <w:rFonts w:ascii="宋体" w:hAnsi="宋体" w:eastAsia="宋体"/>
          <w:b w:val="0"/>
          <w:sz w:val="22"/>
        </w:rPr>
        <w:t>J Am Geriatr Soc. 1991;39(2):142-148.</w:t>
      </w:r>
    </w:p>
    <w:p>
      <w:r>
        <w:rPr>
          <w:rFonts w:ascii="宋体" w:hAnsi="宋体" w:eastAsia="宋体"/>
          <w:b w:val="0"/>
          <w:sz w:val="22"/>
        </w:rPr>
        <w:t>• 正常值：&lt;10秒</w:t>
      </w:r>
    </w:p>
    <w:p>
      <w:r>
        <w:rPr>
          <w:rFonts w:ascii="宋体" w:hAnsi="宋体" w:eastAsia="宋体"/>
          <w:b w:val="0"/>
          <w:sz w:val="22"/>
        </w:rPr>
        <w:t>• 衰弱筛查界值：≥12秒</w:t>
      </w:r>
    </w:p>
    <w:p>
      <w:r>
        <w:rPr>
          <w:rFonts w:ascii="宋体" w:hAnsi="宋体" w:eastAsia="宋体"/>
          <w:b w:val="0"/>
          <w:sz w:val="22"/>
        </w:rPr>
        <w:t>• 操作简便，适合社区和门诊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17.2 6分钟步行试验（6MWT）</w:t>
      </w:r>
    </w:p>
    <w:p>
      <w:r>
        <w:rPr>
          <w:rFonts w:ascii="宋体" w:hAnsi="宋体" w:eastAsia="宋体"/>
          <w:b w:val="0"/>
          <w:sz w:val="22"/>
        </w:rPr>
        <w:t>ATS Committee on Proficiency Standards for Clinical Pulmonary Function Laboratories. ATS statement: guidelines for the six-minute walk test.</w:t>
      </w:r>
    </w:p>
    <w:p>
      <w:r>
        <w:rPr>
          <w:rFonts w:ascii="宋体" w:hAnsi="宋体" w:eastAsia="宋体"/>
          <w:b w:val="0"/>
          <w:sz w:val="22"/>
        </w:rPr>
        <w:t>Am J Respir Crit Care Med. 2002;166(1):111-117.</w:t>
      </w:r>
    </w:p>
    <w:p>
      <w:r>
        <w:rPr>
          <w:rFonts w:ascii="宋体" w:hAnsi="宋体" w:eastAsia="宋体"/>
          <w:b w:val="0"/>
          <w:sz w:val="22"/>
        </w:rPr>
        <w:t>• 正常值：400-700米（因年龄、性别、身高而异）</w:t>
      </w:r>
    </w:p>
    <w:p>
      <w:r>
        <w:rPr>
          <w:rFonts w:ascii="宋体" w:hAnsi="宋体" w:eastAsia="宋体"/>
          <w:b w:val="0"/>
          <w:sz w:val="22"/>
        </w:rPr>
        <w:t>• 衰弱相关：步行距离&lt;300米提示功能受限</w:t>
      </w:r>
    </w:p>
    <w:p>
      <w:r>
        <w:rPr>
          <w:rFonts w:ascii="宋体" w:hAnsi="宋体" w:eastAsia="宋体"/>
          <w:b w:val="0"/>
          <w:sz w:val="22"/>
        </w:rPr>
        <w:t>• 可重复性好，适合随访评估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17.3 简易体能状况量表（SPPB）</w:t>
      </w:r>
    </w:p>
    <w:p>
      <w:r>
        <w:rPr>
          <w:rFonts w:ascii="宋体" w:hAnsi="宋体" w:eastAsia="宋体"/>
          <w:b w:val="0"/>
          <w:sz w:val="22"/>
        </w:rPr>
        <w:t>Guralnik JM, Simonsick EM, Ferrucci L, et al. A short physical performance battery assessing lower extremity function: association with self-reported disability and prediction of mortality and nursing home admission.</w:t>
      </w:r>
    </w:p>
    <w:p>
      <w:r>
        <w:rPr>
          <w:rFonts w:ascii="宋体" w:hAnsi="宋体" w:eastAsia="宋体"/>
          <w:b w:val="0"/>
          <w:sz w:val="22"/>
        </w:rPr>
        <w:t>J Gerontol. 1994;49(2):M85-M94.</w:t>
      </w:r>
    </w:p>
    <w:p>
      <w:r>
        <w:rPr>
          <w:rFonts w:ascii="宋体" w:hAnsi="宋体" w:eastAsia="宋体"/>
          <w:b w:val="0"/>
          <w:sz w:val="22"/>
        </w:rPr>
        <w:t>• 3个测试：站立平衡、4米步行、5次起坐</w:t>
      </w:r>
    </w:p>
    <w:p>
      <w:r>
        <w:rPr>
          <w:rFonts w:ascii="宋体" w:hAnsi="宋体" w:eastAsia="宋体"/>
          <w:b w:val="0"/>
          <w:sz w:val="22"/>
        </w:rPr>
        <w:t>• 评分0-12分，≤9分提示功能受限</w:t>
      </w:r>
    </w:p>
    <w:p>
      <w:r>
        <w:rPr>
          <w:rFonts w:ascii="宋体" w:hAnsi="宋体" w:eastAsia="宋体"/>
          <w:b w:val="0"/>
          <w:sz w:val="22"/>
        </w:rPr>
        <w:t>• 预测效度优于单一指标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17.4 营养风险筛查2002（NRS-2002）</w:t>
      </w:r>
    </w:p>
    <w:p>
      <w:r>
        <w:rPr>
          <w:rFonts w:ascii="宋体" w:hAnsi="宋体" w:eastAsia="宋体"/>
          <w:b w:val="0"/>
          <w:sz w:val="22"/>
        </w:rPr>
        <w:t>Kondrup J, Allison SP, Elia M, et al. ESPEN guidelines for nutrition screening 2002.</w:t>
      </w:r>
    </w:p>
    <w:p>
      <w:r>
        <w:rPr>
          <w:rFonts w:ascii="宋体" w:hAnsi="宋体" w:eastAsia="宋体"/>
          <w:b w:val="0"/>
          <w:sz w:val="22"/>
        </w:rPr>
        <w:t>Clin Nutr. 2003;22(4):415-421.</w:t>
      </w:r>
    </w:p>
    <w:p>
      <w:r>
        <w:rPr>
          <w:rFonts w:ascii="宋体" w:hAnsi="宋体" w:eastAsia="宋体"/>
          <w:b w:val="0"/>
          <w:sz w:val="22"/>
        </w:rPr>
        <w:t>• 适用于住院患者营养筛查</w:t>
      </w:r>
    </w:p>
    <w:p>
      <w:r>
        <w:rPr>
          <w:rFonts w:ascii="宋体" w:hAnsi="宋体" w:eastAsia="宋体"/>
          <w:b w:val="0"/>
          <w:sz w:val="22"/>
        </w:rPr>
        <w:t>• 评分≥3分提示存在营养风险</w:t>
      </w:r>
    </w:p>
    <w:p>
      <w:r>
        <w:rPr>
          <w:rFonts w:ascii="宋体" w:hAnsi="宋体" w:eastAsia="宋体"/>
          <w:b w:val="0"/>
          <w:sz w:val="22"/>
        </w:rPr>
        <w:t>• 与衰弱密切相关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十八、公共卫生与流行病学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18.1 全球衰弱负担</w:t>
      </w:r>
    </w:p>
    <w:p>
      <w:r>
        <w:rPr>
          <w:rFonts w:ascii="宋体" w:hAnsi="宋体" w:eastAsia="宋体"/>
          <w:b w:val="0"/>
          <w:sz w:val="22"/>
        </w:rPr>
        <w:t>Collard RM, Boter H, Schoevers RA, et al. Prevalence of frailty in community-dwelling older persons: a systematic review.</w:t>
      </w:r>
    </w:p>
    <w:p>
      <w:r>
        <w:rPr>
          <w:rFonts w:ascii="宋体" w:hAnsi="宋体" w:eastAsia="宋体"/>
          <w:b w:val="0"/>
          <w:sz w:val="22"/>
        </w:rPr>
        <w:t>J Am Geriatr Soc. 2012;60(8):1487-1492.</w:t>
      </w:r>
    </w:p>
    <w:p>
      <w:r>
        <w:rPr>
          <w:rFonts w:ascii="宋体" w:hAnsi="宋体" w:eastAsia="宋体"/>
          <w:b w:val="0"/>
          <w:sz w:val="22"/>
        </w:rPr>
        <w:t>• 系统回顾54项研究，共81089例社区老年人</w:t>
      </w:r>
    </w:p>
    <w:p>
      <w:r>
        <w:rPr>
          <w:rFonts w:ascii="宋体" w:hAnsi="宋体" w:eastAsia="宋体"/>
          <w:b w:val="0"/>
          <w:sz w:val="22"/>
        </w:rPr>
        <w:t>• 衰弱患病率：10.7%（65-74岁）至15.7%（≥85岁）</w:t>
      </w:r>
    </w:p>
    <w:p>
      <w:r>
        <w:rPr>
          <w:rFonts w:ascii="宋体" w:hAnsi="宋体" w:eastAsia="宋体"/>
          <w:b w:val="0"/>
          <w:sz w:val="22"/>
        </w:rPr>
        <w:t>• 衰弱前期患病率：约30%</w:t>
      </w:r>
    </w:p>
    <w:p>
      <w:r>
        <w:rPr>
          <w:rFonts w:ascii="宋体" w:hAnsi="宋体" w:eastAsia="宋体"/>
          <w:b w:val="0"/>
          <w:sz w:val="22"/>
        </w:rPr>
        <w:t>• 女性高于男性，低收入国家更高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18.2 衰弱筛查的成本效益</w:t>
      </w:r>
    </w:p>
    <w:p>
      <w:r>
        <w:rPr>
          <w:rFonts w:ascii="宋体" w:hAnsi="宋体" w:eastAsia="宋体"/>
          <w:b w:val="0"/>
          <w:sz w:val="22"/>
        </w:rPr>
        <w:t>Perna S, Francis MD, Bologna C, et al. Performance of Edmonton Frail Scale in geriatric outpatients: a systematic review and meta-analysis.</w:t>
      </w:r>
    </w:p>
    <w:p>
      <w:r>
        <w:rPr>
          <w:rFonts w:ascii="宋体" w:hAnsi="宋体" w:eastAsia="宋体"/>
          <w:b w:val="0"/>
          <w:sz w:val="22"/>
        </w:rPr>
        <w:t>Aging Clin Exp Res. 2021;33(4):875-884.</w:t>
      </w:r>
    </w:p>
    <w:p>
      <w:r>
        <w:rPr>
          <w:rFonts w:ascii="宋体" w:hAnsi="宋体" w:eastAsia="宋体"/>
          <w:b w:val="0"/>
          <w:sz w:val="22"/>
        </w:rPr>
        <w:t>• 系统回顾12项研究</w:t>
      </w:r>
    </w:p>
    <w:p>
      <w:r>
        <w:rPr>
          <w:rFonts w:ascii="宋体" w:hAnsi="宋体" w:eastAsia="宋体"/>
          <w:b w:val="0"/>
          <w:sz w:val="22"/>
        </w:rPr>
        <w:t>• 衰弱筛查可识别高风险患者，针对性干预可降低医疗成本</w:t>
      </w:r>
    </w:p>
    <w:p>
      <w:r>
        <w:rPr>
          <w:rFonts w:ascii="宋体" w:hAnsi="宋体" w:eastAsia="宋体"/>
          <w:b w:val="0"/>
          <w:sz w:val="22"/>
        </w:rPr>
        <w:t>• 建议65岁以上老年人常规筛查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十九、附录：关键参考值速查表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19.1 握力正常参考值（Jamar握力计，站立位，3次取最大值）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性别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BMI范围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正常下限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男性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≤24 kg/m²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&gt;29 kg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男性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24.1-28 kg/m²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&gt;30 kg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男性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&gt;28 kg/m²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&gt;32 kg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女性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≤23 kg/m²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&gt;17 kg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女性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23.1-26 kg/m²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&gt;17.3 kg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女性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26.1-29 kg/m²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&gt;18 kg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女性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&gt;29 kg/m²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&gt;21 kg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19.2 步速正常参考值（4.57米步行测试）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性别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身高范围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正常下限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男性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≤173 cm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&gt;0.65 m/s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男性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&gt;173 cm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&gt;0.76 m/s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女性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≤159 cm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&gt;0.65 m/s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女性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&gt;159 cm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&gt;0.76 m/s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19.3 活动量标准（MLTAQ问卷）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性别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正常下限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男性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≥383 kcal/周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女性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≥270 kcal/周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19.4 体重下降标准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界值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1年内体重下降百分比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≥5%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1年内体重下降绝对值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≥4.5 kg（10磅）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C3E50"/>
          <w:sz w:val="32"/>
        </w:rPr>
        <w:t>二十、附录：干预方案速查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20.1 营养干预</w:t>
      </w:r>
    </w:p>
    <w:p>
      <w:r>
        <w:rPr>
          <w:rFonts w:ascii="宋体" w:hAnsi="宋体" w:eastAsia="宋体"/>
          <w:b w:val="0"/>
          <w:sz w:val="22"/>
        </w:rPr>
        <w:t>蛋白质：1.2-1.5 g/kg/日，优质蛋白≥50%</w:t>
      </w:r>
    </w:p>
    <w:p>
      <w:r>
        <w:rPr>
          <w:rFonts w:ascii="宋体" w:hAnsi="宋体" w:eastAsia="宋体"/>
          <w:b w:val="0"/>
          <w:sz w:val="22"/>
        </w:rPr>
        <w:t>维生素D：800-1000 IU/日</w:t>
      </w:r>
    </w:p>
    <w:p>
      <w:r>
        <w:rPr>
          <w:rFonts w:ascii="宋体" w:hAnsi="宋体" w:eastAsia="宋体"/>
          <w:b w:val="0"/>
          <w:sz w:val="22"/>
        </w:rPr>
        <w:t>钙：1000-1200 mg/日</w:t>
      </w:r>
    </w:p>
    <w:p>
      <w:r>
        <w:rPr>
          <w:rFonts w:ascii="宋体" w:hAnsi="宋体" w:eastAsia="宋体"/>
          <w:b w:val="0"/>
          <w:sz w:val="22"/>
        </w:rPr>
        <w:t>口服营养补充剂：400-600 kcal/日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20.2 运动干预</w:t>
      </w:r>
    </w:p>
    <w:p>
      <w:r>
        <w:rPr>
          <w:rFonts w:ascii="宋体" w:hAnsi="宋体" w:eastAsia="宋体"/>
          <w:b w:val="0"/>
          <w:sz w:val="22"/>
        </w:rPr>
        <w:t>有氧运动：每周≥150分钟，中等强度</w:t>
      </w:r>
    </w:p>
    <w:p>
      <w:r>
        <w:rPr>
          <w:rFonts w:ascii="宋体" w:hAnsi="宋体" w:eastAsia="宋体"/>
          <w:b w:val="0"/>
          <w:sz w:val="22"/>
        </w:rPr>
        <w:t>抗阻训练：每周2-3次，8-12次/组，1-3组</w:t>
      </w:r>
    </w:p>
    <w:p>
      <w:r>
        <w:rPr>
          <w:rFonts w:ascii="宋体" w:hAnsi="宋体" w:eastAsia="宋体"/>
          <w:b w:val="0"/>
          <w:sz w:val="22"/>
        </w:rPr>
        <w:t>平衡训练：每周≥3次，每次20-30分钟</w:t>
      </w:r>
    </w:p>
    <w:p>
      <w:r>
        <w:rPr>
          <w:rFonts w:ascii="宋体" w:hAnsi="宋体" w:eastAsia="宋体"/>
          <w:b w:val="0"/>
          <w:sz w:val="22"/>
        </w:rPr>
        <w:t>持续时间：至少12周可见效果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20.3 药物管理</w:t>
      </w:r>
    </w:p>
    <w:p>
      <w:r>
        <w:rPr>
          <w:rFonts w:ascii="宋体" w:hAnsi="宋体" w:eastAsia="宋体"/>
          <w:b w:val="0"/>
          <w:sz w:val="22"/>
        </w:rPr>
        <w:t>定期药物重整（每3个月）</w:t>
      </w:r>
    </w:p>
    <w:p>
      <w:r>
        <w:rPr>
          <w:rFonts w:ascii="宋体" w:hAnsi="宋体" w:eastAsia="宋体"/>
          <w:b w:val="0"/>
          <w:sz w:val="22"/>
        </w:rPr>
        <w:t>遵循Beers标准和STOPP/START标准</w:t>
      </w:r>
    </w:p>
    <w:p>
      <w:r>
        <w:rPr>
          <w:rFonts w:ascii="宋体" w:hAnsi="宋体" w:eastAsia="宋体"/>
          <w:b w:val="0"/>
          <w:sz w:val="22"/>
        </w:rPr>
        <w:t>停用无明确适应症的药物</w:t>
      </w:r>
    </w:p>
    <w:p>
      <w:r>
        <w:rPr>
          <w:rFonts w:ascii="宋体" w:hAnsi="宋体" w:eastAsia="宋体"/>
          <w:b w:val="0"/>
          <w:sz w:val="22"/>
        </w:rPr>
        <w:t>低剂量起始、缓慢增量</w:t>
      </w:r>
    </w:p>
    <w:p>
      <w:pPr>
        <w:pStyle w:val="Heading2"/>
      </w:pPr>
      <w:r>
        <w:rPr>
          <w:rFonts w:ascii="黑体" w:hAnsi="黑体" w:eastAsia="黑体"/>
          <w:b/>
          <w:color w:val="2C3E50"/>
          <w:sz w:val="26"/>
        </w:rPr>
        <w:t>20.4 随访频率</w:t>
      </w:r>
    </w:p>
    <w:p>
      <w:r>
        <w:rPr>
          <w:rFonts w:ascii="宋体" w:hAnsi="宋体" w:eastAsia="宋体"/>
          <w:b w:val="0"/>
          <w:sz w:val="22"/>
        </w:rPr>
        <w:t>衰弱前期：每6个月</w:t>
      </w:r>
    </w:p>
    <w:p>
      <w:r>
        <w:rPr>
          <w:rFonts w:ascii="宋体" w:hAnsi="宋体" w:eastAsia="宋体"/>
          <w:b w:val="0"/>
          <w:sz w:val="22"/>
        </w:rPr>
        <w:t>衰弱：每3个月</w:t>
      </w:r>
    </w:p>
    <w:p>
      <w:r>
        <w:rPr>
          <w:rFonts w:ascii="宋体" w:hAnsi="宋体" w:eastAsia="宋体"/>
          <w:b w:val="0"/>
          <w:sz w:val="22"/>
        </w:rPr>
        <w:t>住院后：出院后1周、1个月、3个月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