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2">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Train a multi-class classification model on AutoML.</w:t>
      </w:r>
      <w:r w:rsidDel="00000000" w:rsidR="00000000" w:rsidRPr="00000000">
        <w:rPr>
          <w:rtl w:val="0"/>
        </w:rPr>
      </w:r>
    </w:p>
    <w:p w:rsidR="00000000" w:rsidDel="00000000" w:rsidP="00000000" w:rsidRDefault="00000000" w:rsidRPr="00000000" w14:paraId="00000004">
      <w:pPr>
        <w:rPr>
          <w:i w:val="1"/>
          <w:color w:val="ea9999"/>
          <w:sz w:val="24"/>
          <w:szCs w:val="24"/>
          <w:highlight w:val="white"/>
        </w:rPr>
      </w:pPr>
      <w:r w:rsidDel="00000000" w:rsidR="00000000" w:rsidRPr="00000000">
        <w:rPr>
          <w:i w:val="1"/>
          <w:color w:val="ea9999"/>
          <w:sz w:val="24"/>
          <w:szCs w:val="24"/>
          <w:highlight w:val="white"/>
          <w:rtl w:val="0"/>
        </w:rPr>
        <w:t xml:space="preserve">Hands-off machine learning with Google AutoML</w:t>
        <w:br w:type="textWrapping"/>
      </w:r>
      <w:hyperlink r:id="rId6">
        <w:r w:rsidDel="00000000" w:rsidR="00000000" w:rsidRPr="00000000">
          <w:rPr>
            <w:i w:val="1"/>
            <w:color w:val="1155cc"/>
            <w:sz w:val="24"/>
            <w:szCs w:val="24"/>
            <w:highlight w:val="white"/>
            <w:u w:val="single"/>
            <w:rtl w:val="0"/>
          </w:rPr>
          <w:t xml:space="preserve">https://towardsdatascience.com/hands-off-machine-learning-with-google-automl-e63b079f09d1</w:t>
        </w:r>
      </w:hyperlink>
      <w:r w:rsidDel="00000000" w:rsidR="00000000" w:rsidRPr="00000000">
        <w:rPr>
          <w:i w:val="1"/>
          <w:color w:val="ea9999"/>
          <w:sz w:val="24"/>
          <w:szCs w:val="24"/>
          <w:highlight w:val="white"/>
          <w:rtl w:val="0"/>
        </w:rPr>
        <w:t xml:space="preserve"> </w:t>
      </w:r>
    </w:p>
    <w:p w:rsidR="00000000" w:rsidDel="00000000" w:rsidP="00000000" w:rsidRDefault="00000000" w:rsidRPr="00000000" w14:paraId="00000005">
      <w:pPr>
        <w:rPr>
          <w:i w:val="1"/>
          <w:color w:val="ea9999"/>
          <w:sz w:val="24"/>
          <w:szCs w:val="24"/>
          <w:highlight w:val="white"/>
        </w:rPr>
      </w:pPr>
      <w:r w:rsidDel="00000000" w:rsidR="00000000" w:rsidRPr="00000000">
        <w:rPr>
          <w:rtl w:val="0"/>
        </w:rPr>
      </w:r>
    </w:p>
    <w:p w:rsidR="00000000" w:rsidDel="00000000" w:rsidP="00000000" w:rsidRDefault="00000000" w:rsidRPr="00000000" w14:paraId="00000006">
      <w:pPr>
        <w:rPr>
          <w:i w:val="1"/>
          <w:color w:val="ea9999"/>
          <w:sz w:val="24"/>
          <w:szCs w:val="24"/>
          <w:highlight w:val="white"/>
        </w:rPr>
      </w:pPr>
      <w:r w:rsidDel="00000000" w:rsidR="00000000" w:rsidRPr="00000000">
        <w:rPr>
          <w:i w:val="1"/>
          <w:color w:val="ea9999"/>
          <w:sz w:val="24"/>
          <w:szCs w:val="24"/>
          <w:highlight w:val="white"/>
          <w:rtl w:val="0"/>
        </w:rPr>
        <w:t xml:space="preserve">https://www.linkedin.com/pulse/using-google-automl-tables-predict-house-prices-victor-dantas-mehmeri</w:t>
      </w:r>
    </w:p>
    <w:p w:rsidR="00000000" w:rsidDel="00000000" w:rsidP="00000000" w:rsidRDefault="00000000" w:rsidRPr="00000000" w14:paraId="00000007">
      <w:pPr>
        <w:rPr>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b w:val="1"/>
          <w:color w:val="2d3b45"/>
          <w:sz w:val="24"/>
          <w:szCs w:val="24"/>
          <w:highlight w:val="white"/>
        </w:rPr>
      </w:pPr>
      <w:r w:rsidDel="00000000" w:rsidR="00000000" w:rsidRPr="00000000">
        <w:rPr>
          <w:b w:val="1"/>
          <w:color w:val="2d3b45"/>
          <w:sz w:val="24"/>
          <w:szCs w:val="24"/>
          <w:highlight w:val="white"/>
          <w:rtl w:val="0"/>
        </w:rPr>
        <w:t xml:space="preserve">Step 1:</w:t>
      </w:r>
      <w:r w:rsidDel="00000000" w:rsidR="00000000" w:rsidRPr="00000000">
        <w:rPr>
          <w:color w:val="2d3b45"/>
          <w:sz w:val="24"/>
          <w:szCs w:val="24"/>
          <w:highlight w:val="white"/>
          <w:rtl w:val="0"/>
        </w:rPr>
        <w:t xml:space="preserve"> </w:t>
      </w:r>
      <w:r w:rsidDel="00000000" w:rsidR="00000000" w:rsidRPr="00000000">
        <w:rPr>
          <w:b w:val="1"/>
          <w:color w:val="2d3b45"/>
          <w:sz w:val="24"/>
          <w:szCs w:val="24"/>
          <w:highlight w:val="white"/>
          <w:rtl w:val="0"/>
        </w:rPr>
        <w:t xml:space="preserve">Create a GCP project (Assuming you don’t already have a project)</w:t>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Once logged in to the Google Cloud console, you will create a new project by naming it and making sure that it has a billing profile attached to it. Once created, make sure that you select that project so that you are working under it, you should see a page that prompts you that “You’re working in &lt;name of project&gt;”.</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b w:val="1"/>
          <w:color w:val="2d3b45"/>
          <w:sz w:val="24"/>
          <w:szCs w:val="24"/>
          <w:highlight w:val="white"/>
        </w:rPr>
      </w:pPr>
      <w:r w:rsidDel="00000000" w:rsidR="00000000" w:rsidRPr="00000000">
        <w:rPr>
          <w:b w:val="1"/>
          <w:color w:val="2d3b45"/>
          <w:sz w:val="24"/>
          <w:szCs w:val="24"/>
          <w:highlight w:val="white"/>
          <w:rtl w:val="0"/>
        </w:rPr>
        <w:t xml:space="preserve">Step 2: Configure your project</w:t>
      </w:r>
    </w:p>
    <w:p w:rsidR="00000000" w:rsidDel="00000000" w:rsidP="00000000" w:rsidRDefault="00000000" w:rsidRPr="00000000" w14:paraId="0000000D">
      <w:pPr>
        <w:rPr>
          <w:color w:val="2d3b45"/>
          <w:sz w:val="24"/>
          <w:szCs w:val="24"/>
          <w:highlight w:val="white"/>
        </w:rPr>
      </w:pPr>
      <w:r w:rsidDel="00000000" w:rsidR="00000000" w:rsidRPr="00000000">
        <w:rPr>
          <w:color w:val="2d3b45"/>
          <w:sz w:val="24"/>
          <w:szCs w:val="24"/>
          <w:highlight w:val="white"/>
          <w:rtl w:val="0"/>
        </w:rPr>
        <w:t xml:space="preserve">Click on the cloud shell icon on the right hand side of the page otherwise you can search for it on the search bar. If you were able to open it up via the cloud shell icon in the project page it should automatically be configured to that project on the shell. However, if it’s not, you will need to configure it through the following commands. </w:t>
      </w:r>
    </w:p>
    <w:p w:rsidR="00000000" w:rsidDel="00000000" w:rsidP="00000000" w:rsidRDefault="00000000" w:rsidRPr="00000000" w14:paraId="0000000E">
      <w:pPr>
        <w:rPr>
          <w:color w:val="2d3b45"/>
          <w:sz w:val="24"/>
          <w:szCs w:val="24"/>
          <w:highlight w:val="white"/>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rHeight w:val="518.16796875" w:hRule="atLeast"/>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F">
            <w:pPr>
              <w:widowControl w:val="0"/>
              <w:rPr>
                <w:color w:val="2d3b45"/>
                <w:sz w:val="24"/>
                <w:szCs w:val="24"/>
                <w:highlight w:val="white"/>
              </w:rPr>
            </w:pPr>
            <w:r w:rsidDel="00000000" w:rsidR="00000000" w:rsidRPr="00000000">
              <w:rPr>
                <w:rFonts w:ascii="Consolas" w:cs="Consolas" w:eastAsia="Consolas" w:hAnsi="Consolas"/>
                <w:b w:val="1"/>
                <w:color w:val="dd8888"/>
                <w:sz w:val="24"/>
                <w:szCs w:val="24"/>
                <w:shd w:fill="444444" w:val="clear"/>
                <w:rtl w:val="0"/>
              </w:rPr>
              <w:t xml:space="preserve">gcloud</w:t>
            </w:r>
            <w:r w:rsidDel="00000000" w:rsidR="00000000" w:rsidRPr="00000000">
              <w:rPr>
                <w:rFonts w:ascii="Consolas" w:cs="Consolas" w:eastAsia="Consolas" w:hAnsi="Consolas"/>
                <w:color w:val="dddddd"/>
                <w:sz w:val="24"/>
                <w:szCs w:val="24"/>
                <w:shd w:fill="444444" w:val="clear"/>
                <w:rtl w:val="0"/>
              </w:rPr>
              <w:t xml:space="preserve"> projects list</w:t>
            </w:r>
            <w:r w:rsidDel="00000000" w:rsidR="00000000" w:rsidRPr="00000000">
              <w:rPr>
                <w:rtl w:val="0"/>
              </w:rPr>
            </w:r>
          </w:p>
        </w:tc>
      </w:tr>
    </w:tbl>
    <w:p w:rsidR="00000000" w:rsidDel="00000000" w:rsidP="00000000" w:rsidRDefault="00000000" w:rsidRPr="00000000" w14:paraId="00000010">
      <w:pPr>
        <w:rPr>
          <w:color w:val="2d3b45"/>
          <w:sz w:val="24"/>
          <w:szCs w:val="24"/>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Fonts w:ascii="Consolas" w:cs="Consolas" w:eastAsia="Consolas" w:hAnsi="Consolas"/>
                <w:b w:val="1"/>
                <w:color w:val="dd8888"/>
                <w:shd w:fill="444444" w:val="clear"/>
                <w:rtl w:val="0"/>
              </w:rPr>
              <w:t xml:space="preserve">gcloud</w:t>
            </w:r>
            <w:r w:rsidDel="00000000" w:rsidR="00000000" w:rsidRPr="00000000">
              <w:rPr>
                <w:rFonts w:ascii="Consolas" w:cs="Consolas" w:eastAsia="Consolas" w:hAnsi="Consolas"/>
                <w:color w:val="dddddd"/>
                <w:shd w:fill="444444" w:val="clear"/>
                <w:rtl w:val="0"/>
              </w:rPr>
              <w:t xml:space="preserve"> config set project &lt;name </w:t>
            </w:r>
            <w:r w:rsidDel="00000000" w:rsidR="00000000" w:rsidRPr="00000000">
              <w:rPr>
                <w:rFonts w:ascii="Consolas" w:cs="Consolas" w:eastAsia="Consolas" w:hAnsi="Consolas"/>
                <w:b w:val="1"/>
                <w:color w:val="ffffff"/>
                <w:shd w:fill="444444" w:val="clear"/>
                <w:rtl w:val="0"/>
              </w:rPr>
              <w:t xml:space="preserve">of</w:t>
            </w:r>
            <w:r w:rsidDel="00000000" w:rsidR="00000000" w:rsidRPr="00000000">
              <w:rPr>
                <w:rFonts w:ascii="Consolas" w:cs="Consolas" w:eastAsia="Consolas" w:hAnsi="Consolas"/>
                <w:color w:val="dddddd"/>
                <w:shd w:fill="444444" w:val="clear"/>
                <w:rtl w:val="0"/>
              </w:rPr>
              <w:t xml:space="preserve"> project&gt;</w:t>
            </w:r>
            <w:r w:rsidDel="00000000" w:rsidR="00000000" w:rsidRPr="00000000">
              <w:rPr>
                <w:rtl w:val="0"/>
              </w:rPr>
            </w:r>
          </w:p>
        </w:tc>
      </w:tr>
    </w:tbl>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Step 3: Load your data to a cloud storage bucket</w:t>
      </w:r>
    </w:p>
    <w:p w:rsidR="00000000" w:rsidDel="00000000" w:rsidP="00000000" w:rsidRDefault="00000000" w:rsidRPr="00000000" w14:paraId="00000014">
      <w:pPr>
        <w:rPr>
          <w:sz w:val="24"/>
          <w:szCs w:val="24"/>
        </w:rPr>
      </w:pPr>
      <w:r w:rsidDel="00000000" w:rsidR="00000000" w:rsidRPr="00000000">
        <w:rPr>
          <w:sz w:val="24"/>
          <w:szCs w:val="24"/>
          <w:rtl w:val="0"/>
        </w:rPr>
        <w:t xml:space="preserve">Upload CSV data file either through the power shell or through the GUI console. The larger the dataset the longer it will take to upload. For example the Redfin dataset for city housing market that contains over 4 million rows of data took overnight for it to upload as a dataset in Vertex AI.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Step 4: Enable Vertex AI API (&amp; recommended APIs) </w:t>
      </w:r>
    </w:p>
    <w:p w:rsidR="00000000" w:rsidDel="00000000" w:rsidP="00000000" w:rsidRDefault="00000000" w:rsidRPr="00000000" w14:paraId="00000017">
      <w:pPr>
        <w:rPr/>
      </w:pPr>
      <w:r w:rsidDel="00000000" w:rsidR="00000000" w:rsidRPr="00000000">
        <w:rPr>
          <w:rtl w:val="0"/>
        </w:rPr>
        <w:t xml:space="preserve">Search Vertex AI through the search bar and enable it. Once enabled, scroll through the left hand side icons to locate the “Dataset” icon. </w:t>
      </w:r>
    </w:p>
    <w:p w:rsidR="00000000" w:rsidDel="00000000" w:rsidP="00000000" w:rsidRDefault="00000000" w:rsidRPr="00000000" w14:paraId="00000018">
      <w:pPr>
        <w:rPr/>
      </w:pPr>
      <w:r w:rsidDel="00000000" w:rsidR="00000000" w:rsidRPr="00000000">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Step 5: Create a dataset </w:t>
      </w:r>
    </w:p>
    <w:p w:rsidR="00000000" w:rsidDel="00000000" w:rsidP="00000000" w:rsidRDefault="00000000" w:rsidRPr="00000000" w14:paraId="0000001B">
      <w:pPr>
        <w:rPr>
          <w:sz w:val="24"/>
          <w:szCs w:val="24"/>
        </w:rPr>
      </w:pPr>
      <w:r w:rsidDel="00000000" w:rsidR="00000000" w:rsidRPr="00000000">
        <w:rPr>
          <w:sz w:val="24"/>
          <w:szCs w:val="24"/>
          <w:rtl w:val="0"/>
        </w:rPr>
        <w:t xml:space="preserve">Create a dataset by uploading your data file either through your local computer, cloud storage, or BigQuery.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b w:val="1"/>
        <w:color w:val="666666"/>
      </w:rPr>
    </w:pPr>
    <w:r w:rsidDel="00000000" w:rsidR="00000000" w:rsidRPr="00000000">
      <w:rPr>
        <w:b w:val="1"/>
        <w:color w:val="666666"/>
        <w:rtl w:val="0"/>
      </w:rPr>
      <w:t xml:space="preserve">Lupe Rodriguez </w:t>
    </w:r>
  </w:p>
  <w:p w:rsidR="00000000" w:rsidDel="00000000" w:rsidP="00000000" w:rsidRDefault="00000000" w:rsidRPr="00000000" w14:paraId="0000001D">
    <w:pPr>
      <w:jc w:val="right"/>
      <w:rPr>
        <w:b w:val="1"/>
        <w:color w:val="666666"/>
      </w:rPr>
    </w:pPr>
    <w:r w:rsidDel="00000000" w:rsidR="00000000" w:rsidRPr="00000000">
      <w:rPr>
        <w:b w:val="1"/>
        <w:color w:val="666666"/>
        <w:rtl w:val="0"/>
      </w:rPr>
      <w:t xml:space="preserve">MSDS 434 - Fall 2022 </w:t>
    </w:r>
  </w:p>
  <w:p w:rsidR="00000000" w:rsidDel="00000000" w:rsidP="00000000" w:rsidRDefault="00000000" w:rsidRPr="00000000" w14:paraId="0000001E">
    <w:pPr>
      <w:jc w:val="right"/>
      <w:rPr/>
    </w:pPr>
    <w:r w:rsidDel="00000000" w:rsidR="00000000" w:rsidRPr="00000000">
      <w:rPr>
        <w:b w:val="1"/>
        <w:color w:val="666666"/>
        <w:rtl w:val="0"/>
      </w:rPr>
      <w:t xml:space="preserve">Assignment 6: AutoML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hands-off-machine-learning-with-google-automl-e63b079f09d1"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