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i w:val="0"/>
          <w:color w:val="1A3C6E"/>
          <w:sz w:val="44"/>
        </w:rPr>
        <w:t>鲁振哲</w:t>
      </w:r>
    </w:p>
    <w:p>
      <w:pPr>
        <w:spacing w:before="0" w:after="40" w:line="312" w:lineRule="auto"/>
        <w:jc w:val="center"/>
      </w:pPr>
      <w:r>
        <w:rPr>
          <w:rFonts w:ascii="宋体" w:hAnsi="宋体" w:eastAsia="宋体"/>
          <w:b w:val="0"/>
          <w:i w:val="0"/>
          <w:color w:val="2C2C2C"/>
          <w:sz w:val="21"/>
        </w:rPr>
        <w:t>本科在读 | 浙江大学管理学院 | 信息管理与信息系统</w:t>
      </w:r>
    </w:p>
    <w:p>
      <w:pPr>
        <w:spacing w:before="0" w:after="80" w:line="312" w:lineRule="auto"/>
        <w:jc w:val="center"/>
      </w:pPr>
      <w:r>
        <w:rPr>
          <w:rFonts w:ascii="宋体" w:hAnsi="宋体" w:eastAsia="宋体"/>
          <w:b w:val="0"/>
          <w:i w:val="0"/>
          <w:color w:val="666666"/>
          <w:sz w:val="18"/>
        </w:rPr>
        <w:t>电话：131 9968 3838 | 邮箱：luzhenzhe2006@qq.com | 地址：浙江省杭州市浙江大学紫金港校区</w:t>
      </w:r>
    </w:p>
    <w:p>
      <w:pPr>
        <w:spacing w:before="0" w:after="120" w:line="312" w:lineRule="auto"/>
        <w:jc w:val="center"/>
      </w:pPr>
      <w:r>
        <w:rPr>
          <w:rFonts w:ascii="宋体" w:hAnsi="宋体" w:eastAsia="宋体"/>
          <w:b w:val="0"/>
          <w:i w:val="0"/>
          <w:color w:val="666666"/>
          <w:sz w:val="18"/>
        </w:rPr>
        <w:t>个人主页：https://steady-nougat-afe4df.netlify.app/</w:t>
      </w:r>
    </w:p>
    <w:p>
      <w:pPr>
        <w:spacing w:before="40" w:after="40"/>
        <w:pBdr>
          <w:bottom w:val="single" w:sz="6" w:space="1" w:color="1a3c6e"/>
        </w:pBdr>
      </w:pPr>
    </w:p>
    <w:p>
      <w:pPr>
        <w:spacing w:before="36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教育背景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浙江大学 (Zhejiang University)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  2024.09 - 至今</w:t>
      </w:r>
    </w:p>
    <w:p>
      <w:pPr>
        <w:spacing w:before="0" w:after="2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管理学院 · 信息管理与信息系统 · 本科在读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666666"/>
          <w:sz w:val="20"/>
        </w:rPr>
        <w:t>主修课程：数据结构、数据库系统、运筹学、数据分析、管理信息系统等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龙江县第一中学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  2021.09 - 2024.06</w:t>
      </w:r>
    </w:p>
    <w:p>
      <w:pPr>
        <w:spacing w:before="0" w:after="2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理科高中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666666"/>
          <w:sz w:val="20"/>
        </w:rPr>
        <w:t>高中阶段，培养了扎实的数学和逻辑思维能力</w:t>
      </w:r>
    </w:p>
    <w:p>
      <w:pPr>
        <w:spacing w:before="36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个人信息</w:t>
      </w:r>
    </w:p>
    <w:p>
      <w:pPr>
        <w:spacing w:before="20" w:after="20" w:line="360" w:lineRule="auto"/>
      </w:pPr>
      <w:r>
        <w:rPr>
          <w:rFonts w:ascii="宋体" w:hAnsi="宋体" w:eastAsia="宋体"/>
          <w:b/>
          <w:i w:val="0"/>
          <w:color w:val="2C2C2C"/>
          <w:sz w:val="21"/>
        </w:rPr>
        <w:t>籍　贯：</w:t>
      </w:r>
      <w:r>
        <w:rPr>
          <w:rFonts w:ascii="宋体" w:hAnsi="宋体" w:eastAsia="宋体"/>
          <w:b w:val="0"/>
          <w:i w:val="0"/>
          <w:color w:val="333333"/>
          <w:sz w:val="21"/>
        </w:rPr>
        <w:t>黑龙江省齐齐哈尔市龙江县</w:t>
      </w:r>
    </w:p>
    <w:p>
      <w:pPr>
        <w:spacing w:before="20" w:after="20" w:line="360" w:lineRule="auto"/>
      </w:pPr>
      <w:r>
        <w:rPr>
          <w:rFonts w:ascii="宋体" w:hAnsi="宋体" w:eastAsia="宋体"/>
          <w:b/>
          <w:i w:val="0"/>
          <w:color w:val="2C2C2C"/>
          <w:sz w:val="21"/>
        </w:rPr>
        <w:t>入学时间：</w:t>
      </w:r>
      <w:r>
        <w:rPr>
          <w:rFonts w:ascii="宋体" w:hAnsi="宋体" w:eastAsia="宋体"/>
          <w:b w:val="0"/>
          <w:i w:val="0"/>
          <w:color w:val="333333"/>
          <w:sz w:val="21"/>
        </w:rPr>
        <w:t>2024年9月</w:t>
      </w:r>
    </w:p>
    <w:p>
      <w:pPr>
        <w:spacing w:before="20" w:after="20" w:line="360" w:lineRule="auto"/>
      </w:pPr>
      <w:r>
        <w:rPr>
          <w:rFonts w:ascii="宋体" w:hAnsi="宋体" w:eastAsia="宋体"/>
          <w:b/>
          <w:i w:val="0"/>
          <w:color w:val="2C2C2C"/>
          <w:sz w:val="21"/>
        </w:rPr>
        <w:t>毕业时间：</w:t>
      </w:r>
      <w:r>
        <w:rPr>
          <w:rFonts w:ascii="宋体" w:hAnsi="宋体" w:eastAsia="宋体"/>
          <w:b w:val="0"/>
          <w:i w:val="0"/>
          <w:color w:val="333333"/>
          <w:sz w:val="21"/>
        </w:rPr>
        <w:t>2028年6月</w:t>
      </w:r>
    </w:p>
    <w:p>
      <w:pPr>
        <w:spacing w:before="36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研究方向</w:t>
      </w:r>
    </w:p>
    <w:p>
      <w:pPr>
        <w:spacing w:before="40" w:after="120" w:line="360" w:lineRule="auto"/>
      </w:pPr>
      <w:r>
        <w:rPr>
          <w:rFonts w:ascii="宋体" w:hAnsi="宋体" w:eastAsia="宋体"/>
          <w:b w:val="0"/>
          <w:i/>
          <w:color w:val="2C2C2C"/>
          <w:sz w:val="20"/>
        </w:rPr>
        <w:t>"深入学习数据分析 (Data Science) 与 运筹优化 (Operations Research) 理论，提升统计建模与算法能力，通过数据驱动方法解决复杂管理问题。"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1A3C6E"/>
          <w:sz w:val="21"/>
        </w:rPr>
        <w:t>数据分析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关注统计学习、机器学习在商业决策中的应用，探索数据驱动的管理优化方法。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1A3C6E"/>
          <w:sz w:val="21"/>
        </w:rPr>
        <w:t>运筹优化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研究数学规划、优化算法，应用于供应链管理、资源分配等实际问题。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1A3C6E"/>
          <w:sz w:val="21"/>
        </w:rPr>
        <w:t>数学建模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具备扎实的数学基础，致力于跨学科的建模挑战和实际问题求解。</w:t>
      </w:r>
    </w:p>
    <w:p>
      <w:pPr>
        <w:spacing w:before="120" w:after="40" w:line="360" w:lineRule="auto"/>
      </w:pPr>
      <w:r>
        <w:rPr>
          <w:rFonts w:ascii="宋体" w:hAnsi="宋体" w:eastAsia="宋体"/>
          <w:b/>
          <w:i w:val="0"/>
          <w:color w:val="1A3C6E"/>
          <w:sz w:val="21"/>
        </w:rPr>
        <w:t>政治经济学理论研究</w:t>
      </w:r>
    </w:p>
    <w:p>
      <w:pPr>
        <w:spacing w:before="0" w:after="8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系统学习马克思主义政治经济学基本原理，深入理解中国特色社会主义经济制度的理论基础和实践经验。</w:t>
      </w:r>
    </w:p>
    <w:p>
      <w:pPr>
        <w:spacing w:before="40" w:after="20" w:line="360" w:lineRule="auto"/>
      </w:pPr>
      <w:r>
        <w:rPr>
          <w:rFonts w:ascii="宋体" w:hAnsi="宋体" w:eastAsia="宋体"/>
          <w:b/>
          <w:i w:val="0"/>
          <w:color w:val="2C2C2C"/>
          <w:sz w:val="20"/>
        </w:rPr>
        <w:t>· 辩证唯物主义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掌握辩证唯物主义的基本原理，理解事物发展的内在矛盾和规律，运用辩证思维分析经济现象。</w:t>
      </w:r>
    </w:p>
    <w:p>
      <w:pPr>
        <w:spacing w:before="40" w:after="20" w:line="360" w:lineRule="auto"/>
      </w:pPr>
      <w:r>
        <w:rPr>
          <w:rFonts w:ascii="宋体" w:hAnsi="宋体" w:eastAsia="宋体"/>
          <w:b/>
          <w:i w:val="0"/>
          <w:color w:val="2C2C2C"/>
          <w:sz w:val="20"/>
        </w:rPr>
        <w:t>· 历史唯物主义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学习历史唯物主义的基本观点，理解生产力与生产关系的矛盾运动，认识社会发展的客观规律。</w:t>
      </w:r>
    </w:p>
    <w:p>
      <w:pPr>
        <w:spacing w:before="40" w:after="20" w:line="360" w:lineRule="auto"/>
      </w:pPr>
      <w:r>
        <w:rPr>
          <w:rFonts w:ascii="宋体" w:hAnsi="宋体" w:eastAsia="宋体"/>
          <w:b/>
          <w:i w:val="0"/>
          <w:color w:val="2C2C2C"/>
          <w:sz w:val="20"/>
        </w:rPr>
        <w:t>· 剩余价值理论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深入研究马克思剩余价值理论，理解资本主义生产方式的本质，分析当代资本主义经济的新特征。</w:t>
      </w:r>
    </w:p>
    <w:p>
      <w:pPr>
        <w:spacing w:before="40" w:after="20" w:line="360" w:lineRule="auto"/>
      </w:pPr>
      <w:r>
        <w:rPr>
          <w:rFonts w:ascii="宋体" w:hAnsi="宋体" w:eastAsia="宋体"/>
          <w:b/>
          <w:i w:val="0"/>
          <w:color w:val="2C2C2C"/>
          <w:sz w:val="20"/>
        </w:rPr>
        <w:t>· 中国特色社会主义经济制度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系统学习中国特色社会主义经济制度，理解社会主义市场经济体制的特点和优势，掌握基本经济制度、分配制度等内容。</w:t>
      </w:r>
    </w:p>
    <w:p>
      <w:pPr>
        <w:spacing w:before="36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获奖情况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全国大学生数学竞赛（非数学类B类）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[浙江省一等奖]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微积分竞赛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[浙江省三等奖]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浙江大学丹青学园团总支篮球赛</w:t>
      </w:r>
      <w:r>
        <w:rPr>
          <w:rFonts w:ascii="宋体" w:hAnsi="宋体" w:eastAsia="宋体"/>
          <w:b/>
          <w:i w:val="0"/>
          <w:color w:val="1A3C6E"/>
          <w:sz w:val="20"/>
        </w:rPr>
        <w:t xml:space="preserve">  [作为队员获得比赛第一名]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CET-4 / CET-6 英语等级测试已通过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1"/>
        </w:rPr>
        <w:t>· 高中阶段多次获得校级三好学生</w:t>
      </w:r>
    </w:p>
    <w:p>
      <w:pPr>
        <w:spacing w:before="360" w:after="120" w:line="360" w:lineRule="auto"/>
        <w:pBdr>
          <w:bottom w:val="single" w:sz="8" w:space="1" w:color="1a3c6e"/>
        </w:pBdr>
      </w:pPr>
      <w:r>
        <w:rPr>
          <w:rFonts w:ascii="黑体" w:hAnsi="黑体" w:eastAsia="黑体"/>
          <w:b/>
          <w:i w:val="0"/>
          <w:color w:val="1A3C6E"/>
          <w:sz w:val="28"/>
        </w:rPr>
        <w:t>阅读书目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《《毛泽东思想和中国特色社会主义理论体系概论》》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高等教育出版社（2026.03）</w:t>
      </w:r>
    </w:p>
    <w:p>
      <w:pPr>
        <w:spacing w:before="0" w:after="20" w:line="312" w:lineRule="auto"/>
      </w:pPr>
      <w:r>
        <w:rPr>
          <w:rFonts w:ascii="宋体" w:hAnsi="宋体" w:eastAsia="宋体"/>
          <w:b w:val="0"/>
          <w:i w:val="0"/>
          <w:color w:val="8B0000"/>
          <w:sz w:val="19"/>
        </w:rPr>
        <w:t>🏅 核心政治理论 · 重点研读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深入理解马克思主义中国化的理论成果，掌握核心要义。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《《运筹学导论》》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希利尔 (Frederick S. Hillier)（2026.03）</w:t>
      </w:r>
    </w:p>
    <w:p>
      <w:pPr>
        <w:spacing w:before="0" w:after="20" w:line="312" w:lineRule="auto"/>
      </w:pPr>
      <w:r>
        <w:rPr>
          <w:rFonts w:ascii="宋体" w:hAnsi="宋体" w:eastAsia="宋体"/>
          <w:b w:val="0"/>
          <w:i w:val="0"/>
          <w:color w:val="8B0000"/>
          <w:sz w:val="19"/>
        </w:rPr>
        <w:t>📖 专业核心基础 · 算法建模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学习线性规划、整数规划等优化方法，解决资源分配问题。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《《解忧杂货店》》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东野圭吾（2026.02）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通过温暖感人的故事，体会人与人之间的善意连接。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《《认知觉醒》》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周岭（2025.12）</w:t>
      </w:r>
    </w:p>
    <w:p>
      <w:pPr>
        <w:spacing w:before="0" w:after="20" w:line="312" w:lineRule="auto"/>
      </w:pPr>
      <w:r>
        <w:rPr>
          <w:rFonts w:ascii="宋体" w:hAnsi="宋体" w:eastAsia="宋体"/>
          <w:b w:val="0"/>
          <w:i w:val="0"/>
          <w:color w:val="8B0000"/>
          <w:sz w:val="19"/>
        </w:rPr>
        <w:t>💡 自我成长 · 心理学实践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学习如何突破思维局限，提升自我认知能力。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《《数据结构》》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严蔚敏（2025.11）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掌握线性表、树、图等基本数据结构。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《《SQL必知必会》》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本·福达（2025.11）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学习数据库查询语言的基本语法和高级技巧。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《《杀死一只知更鸟》》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哈珀·李（2026.01）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探讨种族歧视、社会不公等深刻主题，理解勇气与正义。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《《红楼梦》》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曹雪芹（2024.08）</w:t>
      </w:r>
    </w:p>
    <w:p>
      <w:pPr>
        <w:spacing w:before="0" w:after="20" w:line="312" w:lineRule="auto"/>
      </w:pPr>
      <w:r>
        <w:rPr>
          <w:rFonts w:ascii="宋体" w:hAnsi="宋体" w:eastAsia="宋体"/>
          <w:b w:val="0"/>
          <w:i w:val="0"/>
          <w:color w:val="8B0000"/>
          <w:sz w:val="19"/>
        </w:rPr>
        <w:t>📜 中国古典文学巅峰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领略中国古典文学的巅峰之作，理解封建社会兴衰。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《《管理信息系统》》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肯尼斯 C. 劳顿（2025.12）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理解信息技术在组织管理中的应用，提升效率。</w:t>
      </w:r>
    </w:p>
    <w:p>
      <w:pPr>
        <w:spacing w:before="80" w:after="20" w:line="360" w:lineRule="auto"/>
      </w:pPr>
      <w:r>
        <w:rPr>
          <w:rFonts w:ascii="宋体" w:hAnsi="宋体" w:eastAsia="宋体"/>
          <w:b/>
          <w:i w:val="0"/>
          <w:color w:val="333333"/>
          <w:sz w:val="21"/>
        </w:rPr>
        <w:t>《《传习录》》</w:t>
      </w:r>
      <w:r>
        <w:rPr>
          <w:rFonts w:ascii="宋体" w:hAnsi="宋体" w:eastAsia="宋体"/>
          <w:b w:val="0"/>
          <w:i w:val="0"/>
          <w:color w:val="666666"/>
          <w:sz w:val="20"/>
        </w:rPr>
        <w:t xml:space="preserve">  —— 王阳明（2024.03）</w:t>
      </w:r>
    </w:p>
    <w:p>
      <w:pPr>
        <w:spacing w:before="0" w:after="20" w:line="312" w:lineRule="auto"/>
      </w:pPr>
      <w:r>
        <w:rPr>
          <w:rFonts w:ascii="宋体" w:hAnsi="宋体" w:eastAsia="宋体"/>
          <w:b w:val="0"/>
          <w:i w:val="0"/>
          <w:color w:val="8B0000"/>
          <w:sz w:val="19"/>
        </w:rPr>
        <w:t>🏯 阳明心学 · 知行合一</w:t>
      </w:r>
    </w:p>
    <w:p>
      <w:pPr>
        <w:spacing w:before="0" w:after="40" w:line="360" w:lineRule="auto"/>
      </w:pPr>
      <w:r>
        <w:rPr>
          <w:rFonts w:ascii="宋体" w:hAnsi="宋体" w:eastAsia="宋体"/>
          <w:b w:val="0"/>
          <w:i w:val="0"/>
          <w:color w:val="333333"/>
          <w:sz w:val="20"/>
        </w:rPr>
        <w:t>学习心学思想的核心要义，理解哲学理念。</w:t>
      </w:r>
    </w:p>
    <w:p>
      <w:pPr>
        <w:spacing w:before="40" w:after="40"/>
        <w:pBdr>
          <w:top w:val="single" w:sz="6" w:space="1" w:color="cccccc"/>
        </w:pBdr>
      </w:pPr>
    </w:p>
    <w:p>
      <w:pPr>
        <w:spacing w:before="80" w:after="0" w:line="288" w:lineRule="auto"/>
        <w:jc w:val="center"/>
      </w:pPr>
      <w:r>
        <w:rPr>
          <w:rFonts w:ascii="宋体" w:hAnsi="宋体" w:eastAsia="宋体"/>
          <w:b w:val="0"/>
          <w:i w:val="0"/>
          <w:color w:val="999999"/>
          <w:sz w:val="18"/>
        </w:rPr>
        <w:t>© 2026 鲁振哲 | 浙江大学管理学院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