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We</w:t>
      </w:r>
      <w:r>
        <w:t xml:space="preserve"> </w:t>
      </w:r>
      <w:r>
        <w:t xml:space="preserve">report</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large-scale</w:t>
      </w:r>
      <w:r>
        <w:t xml:space="preserve"> </w:t>
      </w:r>
      <w:r>
        <w:t xml:space="preserve">(</w:t>
      </w:r>
      <w:r>
        <w:rPr>
          <w:i/>
        </w:rPr>
        <w:t xml:space="preserve">N</w:t>
      </w:r>
      <w:r>
        <w:t xml:space="preserve"> </w:t>
      </w:r>
      <w:r>
        <w:t xml:space="preserve">=</w:t>
      </w:r>
      <w:r>
        <w:t xml:space="preserve"> </w:t>
      </w:r>
      <w:r>
        <w:t xml:space="preserve">1571)</w:t>
      </w:r>
      <w:r>
        <w:t xml:space="preserve"> </w:t>
      </w:r>
      <w:r>
        <w:t xml:space="preserve">experiment</w:t>
      </w:r>
      <w:r>
        <w:t xml:space="preserve"> </w:t>
      </w:r>
      <w:r>
        <w:t xml:space="preserve">to</w:t>
      </w:r>
      <w:r>
        <w:t xml:space="preserve"> </w:t>
      </w:r>
      <w:r>
        <w:t xml:space="preserve">investigate</w:t>
      </w:r>
      <w:r>
        <w:t xml:space="preserve"> </w:t>
      </w:r>
      <w:r>
        <w:t xml:space="preserve">whether</w:t>
      </w:r>
      <w:r>
        <w:t xml:space="preserve"> </w:t>
      </w:r>
      <w:r>
        <w:t xml:space="preserve">spoken</w:t>
      </w:r>
      <w:r>
        <w:t xml:space="preserve"> </w:t>
      </w:r>
      <w:r>
        <w:t xml:space="preserve">words</w:t>
      </w:r>
      <w:r>
        <w:t xml:space="preserve"> </w:t>
      </w:r>
      <w:r>
        <w:t xml:space="preserve">can</w:t>
      </w:r>
      <w:r>
        <w:t xml:space="preserve"> </w:t>
      </w:r>
      <w:r>
        <w:t xml:space="preserve">emerge</w:t>
      </w:r>
      <w:r>
        <w:t xml:space="preserve"> </w:t>
      </w:r>
      <w:r>
        <w:t xml:space="preserve">from</w:t>
      </w:r>
      <w:r>
        <w:t xml:space="preserve"> </w:t>
      </w:r>
      <w:r>
        <w:t xml:space="preserve">the</w:t>
      </w:r>
      <w:r>
        <w:t xml:space="preserve"> </w:t>
      </w:r>
      <w:r>
        <w:t xml:space="preserve">process</w:t>
      </w:r>
      <w:r>
        <w:t xml:space="preserve"> </w:t>
      </w:r>
      <w:r>
        <w:t xml:space="preserve">of</w:t>
      </w:r>
      <w:r>
        <w:t xml:space="preserve"> </w:t>
      </w:r>
      <w:r>
        <w:t xml:space="preserve">repeated</w:t>
      </w:r>
      <w:r>
        <w:t xml:space="preserve"> </w:t>
      </w:r>
      <w:r>
        <w:t xml:space="preserve">imitation.</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was</w:t>
      </w:r>
      <w:r>
        <w:t xml:space="preserve"> </w:t>
      </w:r>
      <w:r>
        <w:t xml:space="preserve">asked</w:t>
      </w:r>
      <w:r>
        <w:t xml:space="preserve"> </w:t>
      </w:r>
      <w:r>
        <w:t xml:space="preserve">to</w:t>
      </w:r>
      <w:r>
        <w:t xml:space="preserve"> </w:t>
      </w:r>
      <w:r>
        <w:t xml:space="preserve">imitate</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imitators</w:t>
      </w:r>
      <w:r>
        <w:t xml:space="preserve"> </w:t>
      </w:r>
      <w:r>
        <w:t xml:space="preserve">for</w:t>
      </w:r>
      <w:r>
        <w:t xml:space="preserve"> </w:t>
      </w:r>
      <w:r>
        <w:t xml:space="preserve">a</w:t>
      </w:r>
      <w:r>
        <w:t xml:space="preserve"> </w:t>
      </w:r>
      <w:r>
        <w:t xml:space="preserve">total</w:t>
      </w:r>
      <w:r>
        <w:t xml:space="preserve"> </w:t>
      </w:r>
      <w:r>
        <w:t xml:space="preserve">of</w:t>
      </w:r>
      <w:r>
        <w:t xml:space="preserve"> </w:t>
      </w:r>
      <w:r>
        <w:t xml:space="preserve">8</w:t>
      </w:r>
      <w:r>
        <w:t xml:space="preserve"> </w:t>
      </w:r>
      <w:r>
        <w:t xml:space="preserve">generations.</w:t>
      </w:r>
      <w:r>
        <w:t xml:space="preserve"> </w:t>
      </w:r>
      <w:r>
        <w:t xml:space="preserve">We</w:t>
      </w:r>
      <w:r>
        <w:t xml:space="preserve"> </w:t>
      </w:r>
      <w:r>
        <w:t xml:space="preserve">then</w:t>
      </w:r>
      <w:r>
        <w:t xml:space="preserve"> </w:t>
      </w:r>
      <w:r>
        <w:t xml:space="preserve">examined</w:t>
      </w:r>
      <w:r>
        <w:t xml:space="preserve"> </w:t>
      </w:r>
      <w:r>
        <w:t xml:space="preserve">whether</w:t>
      </w:r>
      <w:r>
        <w:t xml:space="preserve"> </w:t>
      </w:r>
      <w:r>
        <w:t xml:space="preserve">the</w:t>
      </w:r>
      <w:r>
        <w:t xml:space="preserve"> </w:t>
      </w:r>
      <w:r>
        <w:t xml:space="preserve">vocal</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retained</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and</w:t>
      </w:r>
      <w:r>
        <w:t xml:space="preserve"> </w:t>
      </w:r>
      <w:r>
        <w:t xml:space="preserve">became</w:t>
      </w:r>
      <w:r>
        <w:t xml:space="preserve"> </w:t>
      </w:r>
      <w:r>
        <w:t xml:space="preserve">more</w:t>
      </w:r>
      <w:r>
        <w:t xml:space="preserve"> </w:t>
      </w:r>
      <w:r>
        <w:t xml:space="preserve">suitable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imitations</w:t>
      </w:r>
      <w:r>
        <w:t xml:space="preserve"> </w:t>
      </w:r>
      <w:r>
        <w:t xml:space="preserve">became</w:t>
      </w:r>
      <w:r>
        <w:t xml:space="preserve"> </w:t>
      </w:r>
      <w:r>
        <w:t xml:space="preserve">progressively</w:t>
      </w:r>
      <w:r>
        <w:t xml:space="preserve"> </w:t>
      </w:r>
      <w:r>
        <w:t xml:space="preserve">more</w:t>
      </w:r>
      <w:r>
        <w:t xml:space="preserve"> </w:t>
      </w:r>
      <w:r>
        <w:t xml:space="preserve">word-like,</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they</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and</w:t>
      </w:r>
      <w:r>
        <w:t xml:space="preserve"> </w:t>
      </w:r>
      <w:r>
        <w:t xml:space="preserve">imitations</w:t>
      </w:r>
      <w:r>
        <w:t xml:space="preserve"> </w:t>
      </w:r>
      <w:r>
        <w:t xml:space="preserve">from</w:t>
      </w:r>
      <w:r>
        <w:t xml:space="preserve"> </w:t>
      </w:r>
      <w:r>
        <w:t xml:space="preserve">later</w:t>
      </w:r>
      <w:r>
        <w:t xml:space="preserve"> </w:t>
      </w:r>
      <w:r>
        <w:t xml:space="preserve">generations</w:t>
      </w:r>
      <w:r>
        <w:t xml:space="preserve"> </w:t>
      </w:r>
      <w:r>
        <w:t xml:space="preserve">were</w:t>
      </w:r>
      <w:r>
        <w:t xml:space="preserve"> </w:t>
      </w:r>
      <w:r>
        <w:t xml:space="preserve">more</w:t>
      </w:r>
      <w:r>
        <w:t xml:space="preserve"> </w:t>
      </w:r>
      <w:r>
        <w:t xml:space="preserve">effective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Some theories of language evolution have hypothesized that vocal imitation played an important role in generating the first words of spoken languages</w:t>
      </w:r>
      <w:r>
        <w:t xml:space="preserve"> </w:t>
      </w:r>
      <w:r>
        <w:t xml:space="preserve">(e.g., Brown, Black, and Horowitz 1955; Donald 2016; Imai and Kita 2014; Perlman, Dale, and Lupyan 2015)</w:t>
      </w:r>
      <w:r>
        <w:t xml:space="preserve">; early humans may originally have referred to a predatory cat by imitating its roar, or to the discovery of a stream by imitating the sound of rushing water. Such vocal imitation might have served to clarify the referent of a vocalization and eventually establish a mutually understood word. In this study, we investigate the formation of onomatopoeic words: imitative words that resemble the sounds to which they refer. We ask whether onomatopoeic words can be formed gradually and without instruction simply from repeating the same imitation over generations of speakers.</w:t>
      </w:r>
    </w:p>
    <w:p>
      <w:pPr>
        <w:pStyle w:val="BodyText"/>
      </w:pPr>
      <w:r>
        <w:t xml:space="preserve">Onomatopoeic words appear to be a universal lexical category found across the world's languages</w:t>
      </w:r>
      <w:r>
        <w:t xml:space="preserve"> </w:t>
      </w:r>
      <w:r>
        <w:t xml:space="preserve">(Dingemanse 2012)</w:t>
      </w:r>
      <w:r>
        <w:t xml:space="preserve">. Languages all have words for animal vocalizations and various environmental sounds that are conventional, but at the same time, exhibit an imitative quality.</w:t>
      </w:r>
      <w:r>
        <w:t xml:space="preserve"> </w:t>
      </w:r>
      <w:r>
        <w:t xml:space="preserve">(Rhodes 1994)</w:t>
      </w:r>
      <w:r>
        <w:t xml:space="preserve">, for example, documented a repertoire of over 100 onomatopoeic words in English, which he notes exist along a continuum from "wild" to "tame". People often use more wild vocal imitations and other sound effects during demonstrative discourse, especially when producing quotations</w:t>
      </w:r>
      <w:r>
        <w:t xml:space="preserve"> </w:t>
      </w:r>
      <w:r>
        <w:t xml:space="preserve">(Blackwell, Perlman, and Tree 2015; Clark and Gerrig 1990)</w:t>
      </w:r>
      <w:r>
        <w:t xml:space="preserve">. Wild words have a more imitative phonology whereas tame words take on more standard phonology of other words in the language. In some cases, words that begin as wild imitations of sounds become fully lexicalized and integrated into the broader linguistic system, when they behave like more "ordinary" words that can undergo typical morphological processes. Examples are English words like "crack" or the recently adapted "ping".</w:t>
      </w:r>
    </w:p>
    <w:p>
      <w:pPr>
        <w:pStyle w:val="BodyText"/>
      </w:pPr>
      <w:r>
        <w:t xml:space="preserve">However, not all researchers agree that vocal imitation has any significant role in language. For instance,</w:t>
      </w:r>
      <w:r>
        <w:t xml:space="preserve"> </w:t>
      </w:r>
      <w:r>
        <w:t xml:space="preserve">(Pinker and Jackendoff 2005)</w:t>
      </w:r>
      <w:r>
        <w:t xml:space="preserve"> </w:t>
      </w:r>
      <w:r>
        <w:t xml:space="preserve">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w:t>
      </w:r>
      <w:r>
        <w:t xml:space="preserve"> </w:t>
      </w:r>
      <w:r>
        <w:t xml:space="preserve">(Lemaitre and Rocchesso 2014)</w:t>
      </w:r>
      <w:r>
        <w:t xml:space="preserve"> </w:t>
      </w:r>
      <w:r>
        <w:t xml:space="preserve">collected imitations and verbal descriptions of various mechanical and synthesized sounds. When participants listened to these and were asked to identify the source, they were more accurate with imitations than descriptions. A subsequent study found that vocal imitations tend to focus on a few salient features of the sound rather than a high fidelity representation, which aids identification of the source</w:t>
      </w:r>
      <w:r>
        <w:t xml:space="preserve"> </w:t>
      </w:r>
      <w:r>
        <w:t xml:space="preserve">(Lemaitre et al. 2016)</w:t>
      </w:r>
      <w:r>
        <w:t xml:space="preserve">.</w:t>
      </w:r>
    </w:p>
    <w:p>
      <w:pPr>
        <w:pStyle w:val="BodyText"/>
      </w:pPr>
      <w:r>
        <w:t xml:space="preserve">Thus humans can be effective at communicating with vocal imitation, it can play an important role in narration and discourse, and it appears to be the basis for substantial inventories of sound-imitative vocabulary across languages. But little is known about the process by which onomatopoeic words like "crack" and "ping" are actually formed and integrated into the vocabulary of a language. A basic question is whether word formation requires deliberation and an intention to create a new word, or whether words can originate from one-shot vocal imitations and repetition. Here we examine whether the repetition of imitations of environmental sounds is sufficient to create more word-like vocalizations, even without an intent to communicate.</w:t>
      </w:r>
    </w:p>
    <w:p>
      <w:pPr>
        <w:pStyle w:val="BodyText"/>
      </w:pPr>
      <w:r>
        <w:t xml:space="preserve">To test this, we recruited participants to engage in a large scale online version of the children's game of "Telephone". In the children’s game, a spoken message is whispered from one person to the next. In our version, the original message was a recording of an environmental sound. The first generation participant imitated the sound, the next generation imitated the previous imitation, and so on for a maximum of 8 generations. After obtaining these imitations, we investigated how the imitations changed over generations to determine whether they became more word-like. We investigated the acoustic properties of the imitations as well as their orthographic properties once transcribed into English words. We find that by both measures the imitations become more stable through repetition. In addition to stability, we also find that the imitations can still be matched back to the original sounds at above chance levels for many generations. Finally, we measured how quickly the invented words are learned as category labels in a category learning experiment, and find that later generation imitations are easier to learn as category labels.</w:t>
      </w:r>
    </w:p>
    <w:p>
      <w:pPr>
        <w:pStyle w:val="BodyText"/>
      </w:pPr>
      <w:r>
        <w:t xml:space="preserve">In Experiment 1 we collected iterated vocal imitations using the transmission chain design depicted in Fig. 1. In the remaining experiments we assessed changes in these imitations over generations. The extent to which each imitation could be matched back to its originating sound was measured in Experiment 2. Experiment 3 involved collecting transcriptions of imitations, and in Experiment 4 these transcriptions were matched back to the original sounds. In Experiment 5 we used transcriptions taken from first and last generation imitations as novel category labels in a simple category learning experiment.</w:t>
      </w:r>
    </w:p>
    <w:p>
      <w:pPr>
        <w:pStyle w:val="FigureWithCaption"/>
      </w:pPr>
      <w:r>
        <w:drawing>
          <wp:inline>
            <wp:extent cx="5334000" cy="6381462"/>
            <wp:effectExtent b="0" l="0" r="0" t="0"/>
            <wp:docPr descr="The design of the transmission chain experiment. 16 seed sounds were selected, four in each category of environmental sound. Participants imitated each seed sound, and then the next generation of participants imitated the imitations and so on for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6381462"/>
                    </a:xfrm>
                    <a:prstGeom prst="rect">
                      <a:avLst/>
                    </a:prstGeom>
                    <a:noFill/>
                    <a:ln w="9525">
                      <a:noFill/>
                      <a:headEnd/>
                      <a:tailEnd/>
                    </a:ln>
                  </pic:spPr>
                </pic:pic>
              </a:graphicData>
            </a:graphic>
          </wp:inline>
        </w:drawing>
      </w:r>
    </w:p>
    <w:p>
      <w:pPr>
        <w:pStyle w:val="ImageCaption"/>
      </w:pPr>
      <w:r>
        <w:t xml:space="preserve">The design of the transmission chain experiment. 16 seed sounds were selected, four in each category of environmental sound. Participants imitated each seed sound, and then the next generation of participants imitated the imitations and so on for 8 generations.</w:t>
      </w:r>
    </w:p>
    <w:p>
      <w:pPr>
        <w:pStyle w:val="Heading1"/>
      </w:pPr>
      <w:bookmarkStart w:id="22" w:name="results"/>
      <w:bookmarkEnd w:id="22"/>
      <w:r>
        <w:t xml:space="preserve">Results</w:t>
      </w:r>
    </w:p>
    <w:p>
      <w:pPr>
        <w:pStyle w:val="FirstParagraph"/>
      </w:pPr>
      <w:r>
        <w:t xml:space="preserve">We begin with a summary of our main results. Measuring the acoustic similarity of repeated imitations revealed that imitations became more similar to one another through repetition. As the imitations were repeated, they gradually lost their resemblance to the source sound. In particular, they lost information that distinguished the source sound from within-category competitors more readily than higher-level category information. This result suggests that through repetition and stabilization the imitations became better abstract category labels by virtue of cueing all category members equally as opposed to highlighting individual category members. We found support for this conclusion in the transcriptions of the imitations. Later generations of imitations were transcribed with better agreement, suggesting that imitations were indeed stabilizing on invented words that were increasingly distinctive and broadly recognizable. Still, these invented words retained some resemblance to the category of environmental sound that motivated them (at least relative to the other categories tested in this experiment). Participants were able to accurately match the transcriptions of final generation imitations in each transmission chain back to the category of environmental sounds that motivated them. Unlike the direct matching of imitations, the extent to which transcriptions were matched to individual source sounds as opposed to categories of sounds did not increase over generations. However, when transcriptions of first and last generation imitations were learned as novel labels of environmental sound categories, last generation transcriptions were easier to learn than those from the first generation. These results describe a process by which an imitation of an environmental sound may transition to a more word-like form through unguided repetition, and suggest that such a transition to more word-like forms might make them more effective as category labels.</w:t>
      </w:r>
    </w:p>
    <w:p>
      <w:pPr>
        <w:pStyle w:val="Heading2"/>
      </w:pPr>
      <w:bookmarkStart w:id="23" w:name="imitations-stabilized-over-generations"/>
      <w:bookmarkEnd w:id="23"/>
      <w:r>
        <w:t xml:space="preserve">Imitations stabilized over generations</w:t>
      </w:r>
    </w:p>
    <w:p>
      <w:pPr>
        <w:pStyle w:val="FirstParagraph"/>
      </w:pPr>
      <w:r>
        <w:t xml:space="preserve">We collected a total of 480 imitations from 94 participants in a study conducted online. 115 imitations were removed for bad audio quality or violating the rules of the experiment (e.g., saying something in English), leaving 365 imitations along 105 contiguous transmission chains for analysis.</w:t>
      </w:r>
    </w:p>
    <w:p>
      <w:pPr>
        <w:pStyle w:val="BodyText"/>
      </w:pPr>
      <w:r>
        <w:t xml:space="preserve">Trained research assistants coded these imitations for acoustic similarity using a blinded, pairwise comparison procedure (see Methods). Inter-rater reliability was high, ICC = 0.39, 95% CI [0.32, 0.47], F(170, 680) = 4.18,</w:t>
      </w:r>
      <w:r>
        <w:t xml:space="preserve"> </w:t>
      </w:r>
      <w:r>
        <w:rPr>
          <w:i/>
        </w:rPr>
        <w:t xml:space="preserve">p</w:t>
      </w:r>
      <w:r>
        <w:t xml:space="preserve"> </w:t>
      </w:r>
      <w:r>
        <w:t xml:space="preserve">&lt; 0.001. Similarity ratings were fit with a hierarchical linear model predicting similarity from generation with random effects for rater and for category. Imitations from later generations were rated as sounding more similar to one another than imitations from earlier generations,</w:t>
      </w:r>
      <w:r>
        <w:t xml:space="preserve"> </w:t>
      </w:r>
      <w:r>
        <w:rPr>
          <w:i/>
        </w:rPr>
        <w:t xml:space="preserve">b</w:t>
      </w:r>
      <w:r>
        <w:t xml:space="preserve"> </w:t>
      </w:r>
      <w:r>
        <w:t xml:space="preserve">= 0.09 (0.02),</w:t>
      </w:r>
      <w:r>
        <w:t xml:space="preserve"> </w:t>
      </w:r>
      <w:r>
        <w:rPr>
          <w:i/>
        </w:rPr>
        <w:t xml:space="preserve">t</w:t>
      </w:r>
      <w:r>
        <w:t xml:space="preserve">(4.5) = 4.42,</w:t>
      </w:r>
      <w:r>
        <w:t xml:space="preserve"> </w:t>
      </w:r>
      <w:r>
        <w:rPr>
          <w:i/>
        </w:rPr>
        <w:t xml:space="preserve">p</w:t>
      </w:r>
      <w:r>
        <w:t xml:space="preserve"> </w:t>
      </w:r>
      <w:r>
        <w:t xml:space="preserve">= 0.009 (Fig. 2). This result suggests that imitations may be stabilizing on particular acoustic forms through repetition.</w:t>
      </w:r>
    </w:p>
    <w:p>
      <w:pPr>
        <w:pStyle w:val="FigureWithCaption"/>
      </w:pPr>
      <w:r>
        <w:drawing>
          <wp:inline>
            <wp:extent cx="5334000" cy="3812750"/>
            <wp:effectExtent b="0" l="0" r="0" t="0"/>
            <wp:docPr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pPr>
        <w:pStyle w:val="BodyText"/>
      </w:pPr>
      <w:r>
        <w:t xml:space="preserve">We also calculated automated analyses of imitation fidelity using Mel Frequency Cepstral Coefficients (MFCCs) as a measure of acoustic distance. However, for our stimuli the correlation between automated analyses of acoustic similarity and rater judgments was low, r = 0.20, 95% CI [0.16, 0.25], suggesting that the automated analyses do not capture the acoustic features driving the perception of acoustic similarity. This is possibly due to the non-verbal nature of the imitations as well as variation in recording quality between participants in the online study. We therefore report the results of these automated analyses in the Supporting Information.</w:t>
      </w:r>
    </w:p>
    <w:p>
      <w:pPr>
        <w:pStyle w:val="Heading2"/>
      </w:pPr>
      <w:bookmarkStart w:id="25" w:name="imitations-retained-seed-category-information"/>
      <w:bookmarkEnd w:id="25"/>
      <w:r>
        <w:t xml:space="preserve">Imitations retained seed category information</w:t>
      </w:r>
    </w:p>
    <w:p>
      <w:pPr>
        <w:pStyle w:val="FirstParagraph"/>
      </w:pPr>
      <w:r>
        <w:t xml:space="preserve">Were the imitations stabilizing on arbitrary acoustic forms or were they maintaining some aspect of the original environmental sound? To test this, we measured the ability of participants naive to the design of the Telephone game to match each imitation back to its original source relative to other seed sounds from either the same category or from different categories (Fig. 3). All 365 imitations were tested in the three conditions depicted in Fig. 3. These conditions differed in the relationship between the imitation and the four seed sounds serving as the choices in the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pPr>
        <w:pStyle w:val="FigureWithCaption"/>
      </w:pPr>
      <w:r>
        <w:drawing>
          <wp:inline>
            <wp:extent cx="5334000" cy="3667125"/>
            <wp:effectExtent b="0" l="0" r="0" t="0"/>
            <wp:docPr descr="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3667125"/>
                    </a:xfrm>
                    <a:prstGeom prst="rect">
                      <a:avLst/>
                    </a:prstGeom>
                    <a:noFill/>
                    <a:ln w="9525">
                      <a:noFill/>
                      <a:headEnd/>
                      <a:tailEnd/>
                    </a:ln>
                  </pic:spPr>
                </pic:pic>
              </a:graphicData>
            </a:graphic>
          </wp:inline>
        </w:drawing>
      </w:r>
    </w:p>
    <w:p>
      <w:pPr>
        <w:pStyle w:val="ImageCaption"/>
      </w:pPr>
      <w:r>
        <w:t xml:space="preserve">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pPr>
        <w:pStyle w:val="BodyText"/>
      </w:pPr>
      <w:r>
        <w:t xml:space="preserve">Matching accuracy for all question types started above chance for the first generation of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matching difficulty was constant across the three types of questions or if some question types became more difficult at later generations than others. The results are shown in Fig. 4. Performance decreased over generations more rapidly for questions requiring a within-category distinction than for between-category questions,</w:t>
      </w:r>
      <w:r>
        <w:t xml:space="preserve"> </w:t>
      </w:r>
      <w:r>
        <w:rPr>
          <w:i/>
        </w:rPr>
        <w:t xml:space="preserve">b</w:t>
      </w:r>
      <w:r>
        <w:t xml:space="preserve"> </w:t>
      </w:r>
      <w:r>
        <w:t xml:space="preserve">= -0.08 (0.03) log-odds,</w:t>
      </w:r>
      <w:r>
        <w:t xml:space="preserve"> </w:t>
      </w:r>
      <w:r>
        <w:rPr>
          <w:i/>
        </w:rPr>
        <w:t xml:space="preserve">z</w:t>
      </w:r>
      <w:r>
        <w:t xml:space="preserve"> </w:t>
      </w:r>
      <w:r>
        <w:t xml:space="preserve">= -2.69,</w:t>
      </w:r>
      <w:r>
        <w:t xml:space="preserve"> </w:t>
      </w:r>
      <w:r>
        <w:rPr>
          <w:i/>
        </w:rPr>
        <w:t xml:space="preserve">p</w:t>
      </w:r>
      <w:r>
        <w:t xml:space="preserve"> </w:t>
      </w:r>
      <w:r>
        <w:t xml:space="preserve">= 0.007, 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3); the advantage of having the true seed among between-category distractors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-2.77,</w:t>
      </w:r>
      <w:r>
        <w:t xml:space="preserve"> </w:t>
      </w:r>
      <w:r>
        <w:rPr>
          <w:i/>
        </w:rPr>
        <w:t xml:space="preserve">p</w:t>
      </w:r>
      <w:r>
        <w:t xml:space="preserve"> </w:t>
      </w:r>
      <w:r>
        <w:t xml:space="preserve">= 0.006.</w:t>
      </w:r>
    </w:p>
    <w:p>
      <w:pPr>
        <w:pStyle w:val="FigureWithCaption"/>
      </w:pPr>
      <w:r>
        <w:drawing>
          <wp:inline>
            <wp:extent cx="5334000" cy="3812750"/>
            <wp:effectExtent b="0" l="0" r="0" t="0"/>
            <wp:docPr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title="" id="1" name="Picture"/>
            <a:graphic>
              <a:graphicData uri="http://schemas.openxmlformats.org/drawingml/2006/picture">
                <pic:pic>
                  <pic:nvPicPr>
                    <pic:cNvPr descr="figs/fig4-1.png" id="0" name="Picture"/>
                    <pic:cNvPicPr>
                      <a:picLocks noChangeArrowheads="1" noChangeAspect="1"/>
                    </pic:cNvPicPr>
                  </pic:nvPicPr>
                  <pic:blipFill>
                    <a:blip r:embed="rId27"/>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imitions lose within-category information more rapidly than between-category information.</w:t>
      </w:r>
    </w:p>
    <w:p>
      <w:pPr>
        <w:pStyle w:val="BodyText"/>
      </w:pPr>
      <w:r>
        <w:t xml:space="preserve">These results indicate that as imitations are repeated they lose within-category information more rapidly than between-category information. Later generation imitations were just as likely to be recognized as identifiers of an entire category of environmental sounds as they were of particular sounds within the category.</w:t>
      </w:r>
    </w:p>
    <w:p>
      <w:pPr>
        <w:pStyle w:val="Heading2"/>
      </w:pPr>
      <w:bookmarkStart w:id="28" w:name="transcription-agreement-increased-over-generations"/>
      <w:bookmarkEnd w:id="28"/>
      <w:r>
        <w:t xml:space="preserve">Transcription agreement increased over generations</w:t>
      </w:r>
    </w:p>
    <w:p>
      <w:pPr>
        <w:pStyle w:val="FirstParagraph"/>
      </w:pPr>
      <w:r>
        <w:t xml:space="preserve">We next tested whether the imitations became more clearly distinguishable as particular words, as opposed to non-linguistic, i.e., non-English sounds. We had English-speaking participants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216 participants generated a total of 2163 or approximately 20 transcriptions per sound (imitation and seed sounds). Transcriptions containing actual English words and those from participants who failed a catch question were excluded from analysis (</w:t>
      </w:r>
      <w:r>
        <w:rPr>
          <w:rStyle w:val="VerbatimChar"/>
        </w:rPr>
        <w:t xml:space="preserve">n_transcriptions_dropped</w:t>
      </w:r>
      <w:r>
        <w:t xml:space="preserve">).</w:t>
      </w:r>
    </w:p>
    <w:p>
      <w:pPr>
        <w:pStyle w:val="BodyText"/>
      </w:pPr>
      <w:r>
        <w:t xml:space="preserve">To measure transcription agreement we took the average orthographic distance (longest contiguous matching subsequence) between the most frequent transcription and all other transcriptions of a given imitation. Hierarchical linear models were fit predicting orthographic distance from the type of imitation being transcribed (First generation imitations, Last 3 generation imitations) with random effects for transmission chains nested within categories.</w:t>
      </w:r>
    </w:p>
    <w:p>
      <w:pPr>
        <w:pStyle w:val="BodyText"/>
      </w:pPr>
      <w:r>
        <w:t xml:space="preserve">Transcriptions of later generation imitations were more similar to one another in terms of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(3.0) = -3.62,</w:t>
      </w:r>
      <w:r>
        <w:t xml:space="preserve"> </w:t>
      </w:r>
      <w:r>
        <w:rPr>
          <w:i/>
        </w:rPr>
        <w:t xml:space="preserve">p</w:t>
      </w:r>
      <w:r>
        <w:t xml:space="preserve"> </w:t>
      </w:r>
      <w:r>
        <w:t xml:space="preserve">= 0.035 (Fig. 5). This result supports our hypothesis that unguided repetition drives imitations to become more distinctive as particular English words. The same conclusion was reached from alternative measures of orthographic distance, including exact string matches and excluding those imitations for which all transcriptions were unique.</w:t>
      </w:r>
    </w:p>
    <w:p>
      <w:pPr>
        <w:pStyle w:val="FigureWithCaption"/>
      </w:pPr>
      <w:r>
        <w:drawing>
          <wp:inline>
            <wp:extent cx="5334000" cy="3812750"/>
            <wp:effectExtent b="0" l="0" r="0" t="0"/>
            <wp:docPr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5-1.png" id="0" name="Picture"/>
                    <pic:cNvPicPr>
                      <a:picLocks noChangeArrowheads="1" noChangeAspect="1"/>
                    </pic:cNvPicPr>
                  </pic:nvPicPr>
                  <pic:blipFill>
                    <a:blip r:embed="rId29"/>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pPr>
        <w:pStyle w:val="Heading2"/>
      </w:pPr>
      <w:bookmarkStart w:id="30" w:name="transcriptions-retained-seed-category-information"/>
      <w:bookmarkEnd w:id="30"/>
      <w:r>
        <w:t xml:space="preserve">Transcriptions retained seed category information</w:t>
      </w:r>
    </w:p>
    <w:p>
      <w:pPr>
        <w:pStyle w:val="FirstParagraph"/>
      </w:pPr>
      <w:r>
        <w:t xml:space="preserve">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 The distractors for all questions were between-category, i.e. Specific match questions were not tested with transcriptions.</w:t>
      </w:r>
    </w:p>
    <w:p>
      <w:pPr>
        <w:pStyle w:val="BodyText"/>
      </w:pPr>
      <w:r>
        <w:t xml:space="preserve">Participants were able to guess the correct meaning of the transcribed word above chance even after 8 generations of repetition,</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6). This was true both for "True seed" questions containing the actual seed generating the transcribed imitation,</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&lt; 0.001.</w:t>
      </w:r>
    </w:p>
    <w:p>
      <w:pPr>
        <w:pStyle w:val="BodyText"/>
      </w:pPr>
      <w:r>
        <w:t xml:space="preserve">Interestingly,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0.637. This indicates that transcriptions of imitations may capture idiosyncratic elements of specific category members more than the imitations themselves. Possible reasons for this asymmetry between imitations and transcriptions are explored in the Discussion.</w:t>
      </w:r>
    </w:p>
    <w:p>
      <w:pPr>
        <w:pStyle w:val="FigureWithCaption"/>
      </w:pPr>
      <w:r>
        <w:drawing>
          <wp:inline>
            <wp:extent cx="5334000" cy="3812750"/>
            <wp:effectExtent b="0" l="0" r="0" t="0"/>
            <wp:docPr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title="" id="1" name="Picture"/>
            <a:graphic>
              <a:graphicData uri="http://schemas.openxmlformats.org/drawingml/2006/picture">
                <pic:pic>
                  <pic:nvPicPr>
                    <pic:cNvPr descr="figs/fig6-1.png" id="0" name="Picture"/>
                    <pic:cNvPicPr>
                      <a:picLocks noChangeArrowheads="1" noChangeAspect="1"/>
                    </pic:cNvPicPr>
                  </pic:nvPicPr>
                  <pic:blipFill>
                    <a:blip r:embed="rId31"/>
                    <a:stretch>
                      <a:fillRect/>
                    </a:stretch>
                  </pic:blipFill>
                  <pic:spPr bwMode="auto">
                    <a:xfrm>
                      <a:off x="0" y="0"/>
                      <a:ext cx="5334000" cy="3812750"/>
                    </a:xfrm>
                    <a:prstGeom prst="rect">
                      <a:avLst/>
                    </a:prstGeom>
                    <a:noFill/>
                    <a:ln w="9525">
                      <a:noFill/>
                      <a:headEnd/>
                      <a:tailEnd/>
                    </a:ln>
                  </pic:spPr>
                </pic:pic>
              </a:graphicData>
            </a:graphic>
          </wp:inline>
        </w:drawing>
      </w:r>
    </w:p>
    <w:p>
      <w:pPr>
        <w:pStyle w:val="ImageCaption"/>
      </w:pPr>
      <w:r>
        <w:t xml:space="preserve">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pPr>
        <w:pStyle w:val="Heading2"/>
      </w:pPr>
      <w:bookmarkStart w:id="32" w:name="repeated-imitations-were-easier-to-learn-as-category-labels"/>
      <w:bookmarkEnd w:id="32"/>
      <w:r>
        <w:t xml:space="preserve">Repeated imitations were easier to learn as category labels</w:t>
      </w:r>
    </w:p>
    <w:p>
      <w:pPr>
        <w:pStyle w:val="FirstParagraph"/>
      </w:pPr>
      <w:r>
        <w:t xml:space="preserve">Our hypothesis was that repetition of imitations would result in increasingly word-like forms, but what are the consequences of this transition for the language user? To examine this question, we tested whether the words created through repetition were easier to learn as category labels.</w:t>
      </w:r>
    </w:p>
    <w:p>
      <w:pPr>
        <w:pStyle w:val="BodyText"/>
      </w:pPr>
      <w:r>
        <w:t xml:space="preserve">When participants learned some of the transcriptions as novel category labels for categories of environmental sounds, they were faster when the label came from transcriptions of later generation imitations than from transcriptions of first generation imitations,</w:t>
      </w:r>
      <w:r>
        <w:t xml:space="preserve"> </w:t>
      </w:r>
      <w:r>
        <w:rPr>
          <w:i/>
        </w:rPr>
        <w:t xml:space="preserve">b</w:t>
      </w:r>
      <w:r>
        <w:t xml:space="preserve"> </w:t>
      </w:r>
      <w:r>
        <w:t xml:space="preserve">= -114.13 (52.06),</w:t>
      </w:r>
      <w:r>
        <w:t xml:space="preserve"> </w:t>
      </w:r>
      <w:r>
        <w:rPr>
          <w:i/>
        </w:rPr>
        <w:t xml:space="preserve">t</w:t>
      </w:r>
      <w:r>
        <w:t xml:space="preserve">(39.9) = -2.19,</w:t>
      </w:r>
      <w:r>
        <w:t xml:space="preserve"> </w:t>
      </w:r>
      <w:r>
        <w:rPr>
          <w:i/>
        </w:rPr>
        <w:t xml:space="preserve">p</w:t>
      </w:r>
      <w:r>
        <w:t xml:space="preserve"> </w:t>
      </w:r>
      <w:r>
        <w:t xml:space="preserve">= 0.034 (Fig. 7A). In addition to becoming more stable both in terms of acoustic and orthographic properties, imitations that have been more repeated were also easier to learn as category labels.</w:t>
      </w:r>
    </w:p>
    <w:p>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w:t>
      </w:r>
      <w:r>
        <w:t xml:space="preserve"> </w:t>
      </w:r>
      <w:r>
        <w:rPr>
          <w:i/>
        </w:rPr>
        <w:t xml:space="preserve">b</w:t>
      </w:r>
      <w:r>
        <w:t xml:space="preserve"> </w:t>
      </w:r>
      <w:r>
        <w:t xml:space="preserve">= -112.50 (48.96),</w:t>
      </w:r>
      <w:r>
        <w:t xml:space="preserve"> </w:t>
      </w:r>
      <w:r>
        <w:rPr>
          <w:i/>
        </w:rPr>
        <w:t xml:space="preserve">t</w:t>
      </w:r>
      <w:r>
        <w:t xml:space="preserve">(1732.0) = -2.30,</w:t>
      </w:r>
      <w:r>
        <w:t xml:space="preserve"> </w:t>
      </w:r>
      <w:r>
        <w:rPr>
          <w:i/>
        </w:rPr>
        <w:t xml:space="preserve">p</w:t>
      </w:r>
      <w:r>
        <w:t xml:space="preserve"> </w:t>
      </w:r>
      <w:r>
        <w:t xml:space="preserve">= 0.022 (Fig. 7B). This result suggests that learning transcriptions from later generation imitations were easier to generalize to new category members.</w:t>
      </w:r>
    </w:p>
    <w:p>
      <w:pPr>
        <w:pStyle w:val="FigureWithCaption"/>
      </w:pPr>
      <w:r>
        <w:drawing>
          <wp:inline>
            <wp:extent cx="5334000" cy="7625501"/>
            <wp:effectExtent b="0" l="0" r="0" t="0"/>
            <wp:docPr descr="(Top) RTs on correct trials by block, showing faster responses when learning category labels transcribed from last generation imitations. (Bottom) RTs on trials leading up to and immediately following the block transition where new category members are introduced." title="" id="1" name="Picture"/>
            <a:graphic>
              <a:graphicData uri="http://schemas.openxmlformats.org/drawingml/2006/picture">
                <pic:pic>
                  <pic:nvPicPr>
                    <pic:cNvPr descr="figs/fig7-1.png" id="0" name="Picture"/>
                    <pic:cNvPicPr>
                      <a:picLocks noChangeArrowheads="1" noChangeAspect="1"/>
                    </pic:cNvPicPr>
                  </pic:nvPicPr>
                  <pic:blipFill>
                    <a:blip r:embed="rId33"/>
                    <a:stretch>
                      <a:fillRect/>
                    </a:stretch>
                  </pic:blipFill>
                  <pic:spPr bwMode="auto">
                    <a:xfrm>
                      <a:off x="0" y="0"/>
                      <a:ext cx="5334000" cy="7625501"/>
                    </a:xfrm>
                    <a:prstGeom prst="rect">
                      <a:avLst/>
                    </a:prstGeom>
                    <a:noFill/>
                    <a:ln w="9525">
                      <a:noFill/>
                      <a:headEnd/>
                      <a:tailEnd/>
                    </a:ln>
                  </pic:spPr>
                </pic:pic>
              </a:graphicData>
            </a:graphic>
          </wp:inline>
        </w:drawing>
      </w:r>
    </w:p>
    <w:p>
      <w:pPr>
        <w:pStyle w:val="ImageCaption"/>
      </w:pPr>
      <w:r>
        <w:t xml:space="preserve">(Top) RTs on correct trials by block, showing faster responses when learning category labels transcribed from last generation imitations. (Bottom) RTs on trials leading up to and immediately following the block transition where new category members are introduced.</w:t>
      </w:r>
    </w:p>
    <w:p>
      <w:pPr>
        <w:pStyle w:val="Heading1"/>
      </w:pPr>
      <w:bookmarkStart w:id="34" w:name="discussion"/>
      <w:bookmarkEnd w:id="34"/>
      <w:r>
        <w:t xml:space="preserve">Discussion</w:t>
      </w:r>
    </w:p>
    <w:p>
      <w:pPr>
        <w:pStyle w:val="FirstParagraph"/>
      </w:pPr>
      <w:r>
        <w:t xml:space="preserve">Imitative words for sounds, i.e., onomatopoeia, are found across the languages of the world</w:t>
      </w:r>
      <w:r>
        <w:t xml:space="preserve"> </w:t>
      </w:r>
      <w:r>
        <w:t xml:space="preserve">(Dingemanse 2012)</w:t>
      </w:r>
      <w:r>
        <w:t xml:space="preserve">. However, little is known about how these words are formed and incorporated into the lexicon of a language. To examine this process, we conducted a large-scale, online, iterated vocal imitation experiment--essentially a version of the children’s game of “Telephone”. The first generation of participants imitated environmental sounds, and then the next generation of participants imitated these imitations, and so on. Our results show that through simple repetition, that is, without any intention to communicate, the imitations gradually became more word-like. Over generations, they became more stable in sound, and also more easily transcribed into specific English orthographic forms. However, at the same time, the imitations maintained an onomatopoeic quality: listeners were able to match the vocalizations to both their original sound, and to the sound category, even after eight generations. Even when the imitations were transcribed into English, participants were still able to guess the categorical origin of the word above chance relative to the other categories tested in this experiment.</w:t>
      </w:r>
    </w:p>
    <w:p>
      <w:pPr>
        <w:pStyle w:val="BodyText"/>
      </w:pPr>
      <w:r>
        <w:t xml:space="preserve">The imitations also become more word-like in that they served as more effective category labels. Information that distinguished an imitation from other sound categories was more resilient to transmission decay than exemplar information within a category. Previous research has found that words, as opposed to more veridical cues, make categorization easier</w:t>
      </w:r>
      <w:r>
        <w:t xml:space="preserve"> </w:t>
      </w:r>
      <w:r>
        <w:t xml:space="preserve">(Lupyan and Thompson-Schill 2012; Edmiston and Lupyan 2015)</w:t>
      </w:r>
      <w:r>
        <w:t xml:space="preserve">. Similarly, we found that naïve participants were faster to learn category labels derived from transcriptions of later-generation imitations than those derived from direct imitations of the environmental sound. This evidence completes the transition from vocal imitation to abstract word and demonstrates the impact of this transition on communication.</w:t>
      </w:r>
    </w:p>
    <w:p>
      <w:pPr>
        <w:pStyle w:val="BodyText"/>
      </w:pPr>
      <w:r>
        <w:t xml:space="preserve">One result that did not fit squarely with imitations becoming more word-like is that with transcriptions, individuating information was retained over generations more so than category information. If the results of matching transcriptions back to seed sounds would have perfectly mirrored the results of matching imitations back to seed sounds we would have expected the difference between True seed questions and Category match questions to decrease over generations for transcriptions as for imitations.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p>
    <w:p>
      <w:pPr>
        <w:pStyle w:val="BodyText"/>
      </w:pPr>
      <w:r>
        <w:t xml:space="preserve">Our study focused on the formation of onomatopoeia--sound-imitative words--but in addition to onomatopoeia, many languages have semantically rich systems of ideophones. These words comprise a grammatically and phonologically distinct class of words that are used to express a variety of sensory-rich meanings</w:t>
      </w:r>
      <w:r>
        <w:t xml:space="preserve"> </w:t>
      </w:r>
      <w:r>
        <w:t xml:space="preserve">(Dingemanse 2012; Voeltz and Kilian-Hatz 2001)</w:t>
      </w:r>
      <w:r>
        <w:t xml:space="preserve">. Notably, these words are often recognized by native speakers to be imitative of their meaning to some degree. For example, in Japanese, the word ‘koron’ with a voiceless [k] refers to a light object rolling once, the reduplicated ‘korokoro’ to a light object rolling repeatedly, and ‘gorogoro’ with a voiced [g] to a heavy object rolling repeatedly</w:t>
      </w:r>
      <w:r>
        <w:t xml:space="preserve"> </w:t>
      </w:r>
      <w:r>
        <w:t xml:space="preserve">(Imai and Kita 2014)</w:t>
      </w:r>
      <w:r>
        <w:t xml:space="preserve">. The iconicity of ideophones was verified by results showing that naïve listeners were able to guess the meanings of words sampled from five different languages</w:t>
      </w:r>
      <w:r>
        <w:t xml:space="preserve"> </w:t>
      </w:r>
      <w:r>
        <w:t xml:space="preserve">(Dingemanse, Schuerman, and Reinisch 2016)</w:t>
      </w:r>
      <w:r>
        <w:t xml:space="preserve">. Although words for sounds were guessed more accurately than the rest, listeners were better than chance at guessing the synonyms of ideophones that expressed meanings from all five semantic categories tested, which also included color/visual, motion, shape, and texture. In addition, laboratory experiments show that people are able to generate imitative vocalizations for a variety of non-sound concepts, and that these are also understandable to naïve listeners</w:t>
      </w:r>
      <w:r>
        <w:t xml:space="preserve"> </w:t>
      </w:r>
      <w:r>
        <w:t xml:space="preserve">(Perlman, Dale, and Lupyan 2015)</w:t>
      </w:r>
      <w:r>
        <w:t xml:space="preserve">. Thus vocal imitation has the potential to play a role in word formation that extends beyond just the imitation of sounds.</w:t>
      </w:r>
    </w:p>
    <w:p>
      <w:pPr>
        <w:pStyle w:val="BodyText"/>
      </w:pPr>
      <w:r>
        <w:t xml:space="preserve">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pPr>
        <w:pStyle w:val="Heading1"/>
      </w:pPr>
      <w:bookmarkStart w:id="35" w:name="methods"/>
      <w:bookmarkEnd w:id="35"/>
      <w:r>
        <w:t xml:space="preserve">Methods</w:t>
      </w:r>
    </w:p>
    <w:p>
      <w:pPr>
        <w:pStyle w:val="Heading2"/>
      </w:pPr>
      <w:bookmarkStart w:id="36" w:name="selecting-seed-sounds"/>
      <w:bookmarkEnd w:id="36"/>
      <w:r>
        <w:t xml:space="preserve">Selecting seed sounds</w:t>
      </w:r>
    </w:p>
    <w:p>
      <w:pPr>
        <w:pStyle w:val="FirstParagraph"/>
      </w:pPr>
      <w:r>
        <w:t xml:space="preserve">We selected inanimate categories of sounds because they were less likely to have lexicalized onomatopoeic forms already in English, and they were assumed to be less familiar and more difficult to imitate. Using an odd-one-out norming procedure (</w:t>
      </w:r>
      <w:r>
        <w:rPr>
          <w:i/>
        </w:rPr>
        <w:t xml:space="preserve">N</w:t>
      </w:r>
      <w:r>
        <w:t xml:space="preserve"> </w:t>
      </w:r>
      <w:r>
        <w:t xml:space="preserve">= 105 participants), an initial set of36 sounds in 6 categories was reduced to a final set of 16 "seed" sounds: 4 sounds in each of 4 categories. The four final categories included: water, glass, tear, zipper. The results of the norming procedure are presented in the Supporting Information.</w:t>
      </w:r>
    </w:p>
    <w:p>
      <w:pPr>
        <w:pStyle w:val="Heading2"/>
      </w:pPr>
      <w:bookmarkStart w:id="37" w:name="collecting-imitations"/>
      <w:bookmarkEnd w:id="37"/>
      <w:r>
        <w:t xml:space="preserve">Collecting imitations</w:t>
      </w:r>
    </w:p>
    <w:p>
      <w:pPr>
        <w:pStyle w:val="FirstParagraph"/>
      </w:pPr>
      <w:r>
        <w:t xml:space="preserve">Participants (</w:t>
      </w:r>
      <w:r>
        <w:rPr>
          <w:i/>
        </w:rPr>
        <w:t xml:space="preserve">N</w:t>
      </w:r>
      <w:r>
        <w:t xml:space="preserve"> </w:t>
      </w:r>
      <w:r>
        <w:t xml:space="preserve">=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w:t>
      </w:r>
      <w:r>
        <w:t xml:space="preserve"> </w:t>
      </w:r>
      <w:r>
        <w:rPr>
          <w:rStyle w:val="VerbatimChar"/>
        </w:rPr>
        <w:t xml:space="preserve">-30</w:t>
      </w:r>
      <w:r>
        <w:t xml:space="preserve"> </w:t>
      </w:r>
      <w:r>
        <w:t xml:space="preserve">dBFS) were not allowed. Imitations were monitored by an experimenter to catch any gross errors in recording before they were heard by the next generation of imitators. The experimenter also blocked sounds that violated the rules of the experiment, e.g., by saying something in English. A total of 115 imitations were removed.</w:t>
      </w:r>
    </w:p>
    <w:p>
      <w:pPr>
        <w:pStyle w:val="Heading2"/>
      </w:pPr>
      <w:bookmarkStart w:id="38" w:name="measuring-acoustic-similarity"/>
      <w:bookmarkEnd w:id="38"/>
      <w:r>
        <w:t xml:space="preserve">Measuring acoustic similarity</w:t>
      </w:r>
    </w:p>
    <w:p>
      <w:pPr>
        <w:pStyle w:val="FirstParagraph"/>
      </w:pPr>
      <w:r>
        <w:t xml:space="preserve">Acoustic similarity was measured by having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pPr>
        <w:pStyle w:val="Heading2"/>
      </w:pPr>
      <w:bookmarkStart w:id="39" w:name="matching-imitations-to-seeds"/>
      <w:bookmarkEnd w:id="39"/>
      <w:r>
        <w:t xml:space="preserve">Matching imitations to seeds</w:t>
      </w:r>
    </w:p>
    <w:p>
      <w:pPr>
        <w:pStyle w:val="FirstParagraph"/>
      </w:pPr>
      <w:r>
        <w:t xml:space="preserve">Participants (</w:t>
      </w:r>
      <w:r>
        <w:rPr>
          <w:i/>
        </w:rPr>
        <w:t xml:space="preserve">N</w:t>
      </w:r>
      <w:r>
        <w:t xml:space="preserve"> </w:t>
      </w:r>
      <w:r>
        <w:t xml:space="preserve">= 751) were paid to complete an online survey containing 4AFC questions. For each question in the survey, participants listened to an imitation and guessed which of four possible sounds they thought the person was trying to imitate. No feedback was provided.</w:t>
      </w:r>
    </w:p>
    <w:p>
      <w:pPr>
        <w:pStyle w:val="BodyText"/>
      </w:pPr>
      <w:r>
        <w:t xml:space="preserve">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pPr>
        <w:pStyle w:val="Heading2"/>
      </w:pPr>
      <w:bookmarkStart w:id="40" w:name="collecting-transcriptions-of-imitations"/>
      <w:bookmarkEnd w:id="40"/>
      <w:r>
        <w:t xml:space="preserve">Collecting transcriptions of imitations</w:t>
      </w:r>
    </w:p>
    <w:p>
      <w:pPr>
        <w:pStyle w:val="FirstParagraph"/>
      </w:pPr>
      <w:r>
        <w:t xml:space="preserve">Participants (</w:t>
      </w:r>
      <w:r>
        <w:rPr>
          <w:i/>
        </w:rPr>
        <w:t xml:space="preserve">N</w:t>
      </w:r>
      <w:r>
        <w:t xml:space="preserve"> </w:t>
      </w:r>
      <w:r>
        <w:t xml:space="preserve">=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 xml:space="preserve">N</w:t>
      </w:r>
      <w:r>
        <w:t xml:space="preserve"> </w:t>
      </w:r>
      <w:r>
        <w:t xml:space="preserve">= 2), leaving 2163 transcriptions for analysis. Of these, 179 transcriptions were removed because they contained English words, which was a violation of the instructions of the experiment.</w:t>
      </w:r>
    </w:p>
    <w:p>
      <w:pPr>
        <w:pStyle w:val="Heading2"/>
      </w:pPr>
      <w:bookmarkStart w:id="41" w:name="matching-transcriptions-to-seeds"/>
      <w:bookmarkEnd w:id="41"/>
      <w:r>
        <w:t xml:space="preserve">Matching transcriptions to seeds</w:t>
      </w:r>
    </w:p>
    <w:p>
      <w:pPr>
        <w:pStyle w:val="FirstParagraph"/>
      </w:pPr>
      <w:r>
        <w:t xml:space="preserve">Participants (</w:t>
      </w:r>
      <w:r>
        <w:rPr>
          <w:i/>
        </w:rPr>
        <w:t xml:space="preserve">N</w:t>
      </w:r>
      <w:r>
        <w:t xml:space="preserve"> </w:t>
      </w:r>
      <w:r>
        <w:t xml:space="preserve">= 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Heading2"/>
      </w:pPr>
      <w:bookmarkStart w:id="42" w:name="learning-transcriptions-as-category-labels"/>
      <w:bookmarkEnd w:id="42"/>
      <w:r>
        <w:t xml:space="preserve">Learning transcriptions as category labels</w:t>
      </w:r>
    </w:p>
    <w:p>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script that sampled the words in this experiment is linked in the Supporting Information.</w:t>
      </w:r>
    </w:p>
    <w:p>
      <w:pPr>
        <w:pStyle w:val="BodyText"/>
      </w:pPr>
      <w:r>
        <w:t xml:space="preserve">Participants (</w:t>
      </w:r>
      <w:r>
        <w:rPr>
          <w:i/>
        </w:rPr>
        <w:t xml:space="preserve">N</w:t>
      </w:r>
      <w:r>
        <w:t xml:space="preserve"> </w:t>
      </w:r>
      <w:r>
        <w:t xml:space="preserve">= 67) were randomly assigned four novel names for four categories of environmental sounds. Participants were assigned between-subject to learn words from first or last generation imitations, as well as words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pPr>
        <w:pStyle w:val="Heading1"/>
      </w:pPr>
      <w:bookmarkStart w:id="43" w:name="references"/>
      <w:bookmarkEnd w:id="43"/>
      <w:r>
        <w:t xml:space="preserve">References</w:t>
      </w:r>
    </w:p>
    <w:p>
      <w:pPr>
        <w:pStyle w:val="Bibliography"/>
      </w:pPr>
      <w:r>
        <w:t xml:space="preserve">Blackwell, Natalia L, Marcus Perlman, and Jean E Fox Tree. 2015. “Quotation as a multimodal construction.”</w:t>
      </w:r>
      <w:r>
        <w:t xml:space="preserve"> </w:t>
      </w:r>
      <w:r>
        <w:rPr>
          <w:i/>
        </w:rPr>
        <w:t xml:space="preserve">Journal of Pragmatics</w:t>
      </w:r>
      <w:r>
        <w:t xml:space="preserve"> </w:t>
      </w:r>
      <w:r>
        <w:t xml:space="preserve">81 (May). Elsevier B.V.: 1–7. doi:</w:t>
      </w:r>
      <w:hyperlink r:id="rId44">
        <w:r>
          <w:rPr>
            <w:rStyle w:val="Hyperlink"/>
          </w:rPr>
          <w:t xml:space="preserve">10.1016/j.pragma.2015.03.004</w:t>
        </w:r>
      </w:hyperlink>
      <w:r>
        <w:t xml:space="preserve">.</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r>
        <w:t xml:space="preserve"> </w:t>
      </w:r>
      <w:hyperlink r:id="rId45">
        <w:r>
          <w:rPr>
            <w:rStyle w:val="Hyperlink"/>
          </w:rPr>
          <w:t xml:space="preserve">http://eutils.ncbi.nlm.nih.gov/entrez/eutils/elink.fcgi?dbfrom=pubmed&amp;id=14381156&amp;retmode=ref&amp;cmd=prlinks</w:t>
        </w:r>
      </w:hyperlink>
      <w:r>
        <w:t xml:space="preserve">.</w:t>
      </w:r>
    </w:p>
    <w:p>
      <w:pPr>
        <w:pStyle w:val="Bibliography"/>
      </w:pPr>
      <w:r>
        <w:t xml:space="preserve">Clark, Herbert H, and Richard J Gerrig. 1990. “Quotations as Demonstrations.”</w:t>
      </w:r>
      <w:r>
        <w:t xml:space="preserve"> </w:t>
      </w:r>
      <w:r>
        <w:rPr>
          <w:i/>
        </w:rPr>
        <w:t xml:space="preserve">Language, Cognition, and Neuroscience</w:t>
      </w:r>
      <w:r>
        <w:t xml:space="preserve"> </w:t>
      </w:r>
      <w:r>
        <w:t xml:space="preserve">66 (4). Linguistic Society of America: 764–805. doi:</w:t>
      </w:r>
      <w:hyperlink r:id="rId46">
        <w:r>
          <w:rPr>
            <w:rStyle w:val="Hyperlink"/>
          </w:rPr>
          <w:t xml:space="preserve">10.2307/414729?ref=search-gateway:df58c19715a2e512d551c6fd62e27164</w:t>
        </w:r>
      </w:hyperlink>
      <w:r>
        <w:t xml:space="preserve">.</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 doi:</w:t>
      </w:r>
      <w:hyperlink r:id="rId47">
        <w:r>
          <w:rPr>
            <w:rStyle w:val="Hyperlink"/>
          </w:rPr>
          <w:t xml:space="preserve">10.1002/lnc3.361</w:t>
        </w:r>
      </w:hyperlink>
      <w:r>
        <w:t xml:space="preserve">.</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Science</w:t>
      </w:r>
      <w:r>
        <w:t xml:space="preserve">.</w:t>
      </w:r>
      <w:r>
        <w:t xml:space="preserve"> </w:t>
      </w:r>
      <w:hyperlink r:id="rId48">
        <w:r>
          <w:rPr>
            <w:rStyle w:val="Hyperlink"/>
          </w:rPr>
          <w:t xml:space="preserve">http://pubman.mpdl.mpg.de/pubman/faces/viewItemOverviewPage.jsp?itemId=escidoc:2286810</w:t>
        </w:r>
      </w:hyperlink>
      <w:r>
        <w:t xml:space="preserve">.</w:t>
      </w:r>
    </w:p>
    <w:p>
      <w:pPr>
        <w:pStyle w:val="Bibliography"/>
      </w:pPr>
      <w:r>
        <w:t xml:space="preserve">Donald, Merlin. 2016. “Key cognitive preconditions for the evolution of language.”</w:t>
      </w:r>
      <w:r>
        <w:t xml:space="preserve"> </w:t>
      </w:r>
      <w:r>
        <w:rPr>
          <w:i/>
        </w:rPr>
        <w:t xml:space="preserve">Psychonomic Bulletin &amp; Review</w:t>
      </w:r>
      <w:r>
        <w:t xml:space="preserve">, June. Psychonomic Bulletin &amp; Review, 1–5. doi:</w:t>
      </w:r>
      <w:hyperlink r:id="rId49">
        <w:r>
          <w:rPr>
            <w:rStyle w:val="Hyperlink"/>
          </w:rPr>
          <w:t xml:space="preserve">10.3758/s13423-016-1102-x</w:t>
        </w:r>
      </w:hyperlink>
      <w:r>
        <w:t xml:space="preserve">.</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(C). Elsevier B.V.: 93–100. doi:</w:t>
      </w:r>
      <w:hyperlink r:id="rId50">
        <w:r>
          <w:rPr>
            <w:rStyle w:val="Hyperlink"/>
          </w:rPr>
          <w:t xml:space="preserve">10.1016/j.cognition.2015.06.008</w:t>
        </w:r>
      </w:hyperlink>
      <w:r>
        <w:t xml:space="preserve">.</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 20130298–8. doi:</w:t>
      </w:r>
      <w:hyperlink r:id="rId51">
        <w:r>
          <w:rPr>
            <w:rStyle w:val="Hyperlink"/>
          </w:rPr>
          <w:t xml:space="preserve">10.1098/rstb.2013.0298</w:t>
        </w:r>
      </w:hyperlink>
      <w:r>
        <w:t xml:space="preserve">.</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 </w:t>
      </w:r>
      <w:r>
        <w:t xml:space="preserve">135 (2): 862–73. doi:</w:t>
      </w:r>
      <w:hyperlink r:id="rId52">
        <w:r>
          <w:rPr>
            <w:rStyle w:val="Hyperlink"/>
          </w:rPr>
          <w:t xml:space="preserve">10.1121/1.4861245</w:t>
        </w:r>
      </w:hyperlink>
      <w:r>
        <w:t xml:space="preserve">.</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 doi:</w:t>
      </w:r>
      <w:hyperlink r:id="rId53">
        <w:r>
          <w:rPr>
            <w:rStyle w:val="Hyperlink"/>
          </w:rPr>
          <w:t xml:space="preserve">10.1371/journal.pone.0168167</w:t>
        </w:r>
      </w:hyperlink>
      <w:r>
        <w:t xml:space="preserve">.</w:t>
      </w:r>
    </w:p>
    <w:p>
      <w:pPr>
        <w:pStyle w:val="Bibliography"/>
      </w:pPr>
      <w:r>
        <w:t xml:space="preserve">Locke, John. 1948. “An essay concerning human understanding.” In</w:t>
      </w:r>
      <w:r>
        <w:t xml:space="preserve"> </w:t>
      </w:r>
      <w:r>
        <w:rPr>
          <w:i/>
        </w:rPr>
        <w:t xml:space="preserve">Readings in the History of Psychology</w:t>
      </w:r>
      <w:r>
        <w:t xml:space="preserve">, edited by Wayne Dennis. Norwalk, CT.</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170–86. doi:</w:t>
      </w:r>
      <w:hyperlink r:id="rId54">
        <w:r>
          <w:rPr>
            <w:rStyle w:val="Hyperlink"/>
          </w:rPr>
          <w:t xml:space="preserve">10.1037/a0024904</w:t>
        </w:r>
      </w:hyperlink>
      <w:r>
        <w:t xml:space="preserve">.</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 doi:</w:t>
      </w:r>
      <w:hyperlink r:id="rId55">
        <w:r>
          <w:rPr>
            <w:rStyle w:val="Hyperlink"/>
          </w:rPr>
          <w:t xml:space="preserve">10.1098/rsos.150152</w:t>
        </w:r>
      </w:hyperlink>
      <w:r>
        <w:t xml:space="preserve">.</w:t>
      </w:r>
    </w:p>
    <w:p>
      <w:pPr>
        <w:pStyle w:val="Bibliography"/>
      </w:pPr>
      <w:r>
        <w:t xml:space="preserve">Pinker, Steven, and Ray Jackendoff. 2005. “The faculty of language: what’s special about it?”</w:t>
      </w:r>
      <w:r>
        <w:t xml:space="preserve"> </w:t>
      </w:r>
      <w:r>
        <w:rPr>
          <w:i/>
        </w:rPr>
        <w:t xml:space="preserve">Cognition</w:t>
      </w:r>
      <w:r>
        <w:t xml:space="preserve"> </w:t>
      </w:r>
      <w:r>
        <w:t xml:space="preserve">95 (2): 201–36. doi:</w:t>
      </w:r>
      <w:hyperlink r:id="rId56">
        <w:r>
          <w:rPr>
            <w:rStyle w:val="Hyperlink"/>
          </w:rPr>
          <w:t xml:space="preserve">10.1016/j.cognition.2004.08.004</w:t>
        </w:r>
      </w:hyperlink>
      <w:r>
        <w:t xml:space="preserve">.</w:t>
      </w:r>
    </w:p>
    <w:p>
      <w:pPr>
        <w:pStyle w:val="Bibliography"/>
      </w:pPr>
      <w:r>
        <w:t xml:space="preserve">Plato, and C D C Reeve. 1999.</w:t>
      </w:r>
      <w:r>
        <w:t xml:space="preserve"> </w:t>
      </w:r>
      <w:r>
        <w:rPr>
          <w:i/>
        </w:rPr>
        <w:t xml:space="preserve">Cratylus</w:t>
      </w:r>
      <w:r>
        <w:t xml:space="preserve">. Indianapolis: Hackett.</w:t>
      </w:r>
    </w:p>
    <w:p>
      <w:pPr>
        <w:pStyle w:val="Bibliography"/>
      </w:pPr>
      <w:r>
        <w:t xml:space="preserve">Rhodes, Richard. 1994. “Aural images.”</w:t>
      </w:r>
      <w:r>
        <w:t xml:space="preserve"> </w:t>
      </w:r>
      <w:r>
        <w:rPr>
          <w:i/>
        </w:rPr>
        <w:t xml:space="preserve">Sound Symbolism</w:t>
      </w:r>
      <w:r>
        <w:t xml:space="preserve">. Cambridge University Press: Cambridge, UK, 276–92.</w:t>
      </w:r>
    </w:p>
    <w:p>
      <w:pPr>
        <w:pStyle w:val="Bibliography"/>
      </w:pPr>
      <w:r>
        <w:t xml:space="preserve">Voeltz, FK Erhard, and Christa Kilian-Hatz. 2001.</w:t>
      </w:r>
      <w:r>
        <w:t xml:space="preserve"> </w:t>
      </w:r>
      <w:r>
        <w:rPr>
          <w:i/>
        </w:rPr>
        <w:t xml:space="preserve">Ideophones</w:t>
      </w:r>
      <w:r>
        <w:t xml:space="preserve">. Vol. 44.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2d1e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45" Target="http://eutils.ncbi.nlm.nih.gov/entrez/eutils/elink.fcgi?dbfrom=pubmed&amp;id=14381156&amp;retmode=ref&amp;cmd=prlinks" TargetMode="External" /><Relationship Type="http://schemas.openxmlformats.org/officeDocument/2006/relationships/hyperlink" Id="rId48" Target="http://pubman.mpdl.mpg.de/pubman/faces/viewItemOverviewPage.jsp?itemId=escidoc:2286810" TargetMode="External" /><Relationship Type="http://schemas.openxmlformats.org/officeDocument/2006/relationships/hyperlink" Id="rId47" Target="https://doi.org/10.1002/lnc3.361" TargetMode="External" /><Relationship Type="http://schemas.openxmlformats.org/officeDocument/2006/relationships/hyperlink" Id="rId56" Target="https://doi.org/10.1016/j.cognition.2004.08.004" TargetMode="External" /><Relationship Type="http://schemas.openxmlformats.org/officeDocument/2006/relationships/hyperlink" Id="rId50" Target="https://doi.org/10.1016/j.cognition.2015.06.008" TargetMode="External" /><Relationship Type="http://schemas.openxmlformats.org/officeDocument/2006/relationships/hyperlink" Id="rId44" Target="https://doi.org/10.1016/j.pragma.2015.03.004" TargetMode="External" /><Relationship Type="http://schemas.openxmlformats.org/officeDocument/2006/relationships/hyperlink" Id="rId54" Target="https://doi.org/10.1037/a0024904" TargetMode="External" /><Relationship Type="http://schemas.openxmlformats.org/officeDocument/2006/relationships/hyperlink" Id="rId55" Target="https://doi.org/10.1098/rsos.150152" TargetMode="External" /><Relationship Type="http://schemas.openxmlformats.org/officeDocument/2006/relationships/hyperlink" Id="rId51" Target="https://doi.org/10.1098/rstb.2013.0298" TargetMode="External" /><Relationship Type="http://schemas.openxmlformats.org/officeDocument/2006/relationships/hyperlink" Id="rId52" Target="https://doi.org/10.1121/1.4861245" TargetMode="External" /><Relationship Type="http://schemas.openxmlformats.org/officeDocument/2006/relationships/hyperlink" Id="rId53" Target="https://doi.org/10.1371/journal.pone.0168167" TargetMode="External" /><Relationship Type="http://schemas.openxmlformats.org/officeDocument/2006/relationships/hyperlink" Id="rId46" Target="https://doi.org/10.2307/414729?ref=search-gateway:df58c19715a2e512d551c6fd62e27164" TargetMode="External" /><Relationship Type="http://schemas.openxmlformats.org/officeDocument/2006/relationships/hyperlink" Id="rId49" Target="https://doi.org/10.3758/s13423-016-1102-x" TargetMode="External" /></Relationships>
</file>

<file path=word/_rels/footnotes.xml.rels><?xml version="1.0" encoding="UTF-8"?>
<Relationships xmlns="http://schemas.openxmlformats.org/package/2006/relationships"><Relationship Type="http://schemas.openxmlformats.org/officeDocument/2006/relationships/hyperlink" Id="rId45" Target="http://eutils.ncbi.nlm.nih.gov/entrez/eutils/elink.fcgi?dbfrom=pubmed&amp;id=14381156&amp;retmode=ref&amp;cmd=prlinks" TargetMode="External" /><Relationship Type="http://schemas.openxmlformats.org/officeDocument/2006/relationships/hyperlink" Id="rId48" Target="http://pubman.mpdl.mpg.de/pubman/faces/viewItemOverviewPage.jsp?itemId=escidoc:2286810" TargetMode="External" /><Relationship Type="http://schemas.openxmlformats.org/officeDocument/2006/relationships/hyperlink" Id="rId47" Target="https://doi.org/10.1002/lnc3.361" TargetMode="External" /><Relationship Type="http://schemas.openxmlformats.org/officeDocument/2006/relationships/hyperlink" Id="rId56" Target="https://doi.org/10.1016/j.cognition.2004.08.004" TargetMode="External" /><Relationship Type="http://schemas.openxmlformats.org/officeDocument/2006/relationships/hyperlink" Id="rId50" Target="https://doi.org/10.1016/j.cognition.2015.06.008" TargetMode="External" /><Relationship Type="http://schemas.openxmlformats.org/officeDocument/2006/relationships/hyperlink" Id="rId44" Target="https://doi.org/10.1016/j.pragma.2015.03.004" TargetMode="External" /><Relationship Type="http://schemas.openxmlformats.org/officeDocument/2006/relationships/hyperlink" Id="rId54" Target="https://doi.org/10.1037/a0024904" TargetMode="External" /><Relationship Type="http://schemas.openxmlformats.org/officeDocument/2006/relationships/hyperlink" Id="rId55" Target="https://doi.org/10.1098/rsos.150152" TargetMode="External" /><Relationship Type="http://schemas.openxmlformats.org/officeDocument/2006/relationships/hyperlink" Id="rId51" Target="https://doi.org/10.1098/rstb.2013.0298" TargetMode="External" /><Relationship Type="http://schemas.openxmlformats.org/officeDocument/2006/relationships/hyperlink" Id="rId52" Target="https://doi.org/10.1121/1.4861245" TargetMode="External" /><Relationship Type="http://schemas.openxmlformats.org/officeDocument/2006/relationships/hyperlink" Id="rId53" Target="https://doi.org/10.1371/journal.pone.0168167" TargetMode="External" /><Relationship Type="http://schemas.openxmlformats.org/officeDocument/2006/relationships/hyperlink" Id="rId46" Target="https://doi.org/10.2307/414729?ref=search-gateway:df58c19715a2e512d551c6fd62e27164" TargetMode="External" /><Relationship Type="http://schemas.openxmlformats.org/officeDocument/2006/relationships/hyperlink" Id="rId49" Target="https://doi.org/10.3758/s13423-016-110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2017-03-31T18:05:04Z</dcterms:created>
  <dcterms:modified xsi:type="dcterms:W3CDTF">2017-03-31T18:05:04Z</dcterms:modified>
</cp:coreProperties>
</file>