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eastAsia="黑体" w:hAnsi="Arial"/>
          <w:b w:val="false"/>
          <w:bCs w:val="false"/>
          <w:color w:val="000000"/>
          <w:spacing w:val="60"/>
          <w:sz w:val="24"/>
          <w:szCs w:val="24"/>
        </w:rPr>
        <w:t xml:space="preserve">苏州市立医院分子诊断中心</w:t>
      </w:r>
    </w:p>
    <w:p>
      <w:pPr>
        <w:spacing w:after="100" w:line="440"/>
        <w:jc w:val="center"/>
      </w:pPr>
      <w:r>
        <w:rPr>
          <w:rFonts w:ascii="Times New Roman" w:eastAsia="宋体" w:hAnsi="Times New Roman"/>
          <w:b/>
          <w:bCs/>
          <w:color w:val="000000"/>
          <w:spacing w:val="20"/>
          <w:sz w:val="44"/>
          <w:szCs w:val="44"/>
        </w:rPr>
        <w:t xml:space="preserve">肿瘤 NGS 平台建设需求</w:t>
      </w:r>
    </w:p>
    <w:p>
      <w:pPr>
        <w:pBdr>
          <w:bottom w:val="double" w:color="000000" w:sz="6" w:space="10"/>
        </w:pBdr>
        <w:spacing w:after="260"/>
        <w:jc w:val="center"/>
      </w:pPr>
      <w:r>
        <w:rPr>
          <w:rFonts w:ascii="Times New Roman" w:eastAsia="宋体" w:hAnsi="Times New Roman"/>
          <w:b w:val="false"/>
          <w:bCs w:val="false"/>
          <w:color w:val="444444"/>
          <w:sz w:val="21"/>
          <w:szCs w:val="21"/>
        </w:rPr>
        <w:t xml:space="preserve">建设地点：太湖新城总院区</w:t>
      </w:r>
    </w:p>
    <w:p>
      <w:pPr>
        <w:spacing w:after="100" w:line="380"/>
        <w:ind w:left="0" w:firstLine="420"/>
        <w:jc w:val="both"/>
      </w:pPr>
      <w:r>
        <w:rPr>
          <w:rFonts w:ascii="Times New Roman" w:eastAsia="宋体" w:hAnsi="Times New Roman"/>
          <w:b w:val="false"/>
          <w:bCs w:val="false"/>
          <w:color w:val="000000"/>
          <w:sz w:val="21"/>
          <w:szCs w:val="21"/>
        </w:rPr>
        <w:t xml:space="preserve">本项目为</w:t>
      </w:r>
      <w:r>
        <w:rPr>
          <w:rFonts w:ascii="Times New Roman" w:eastAsia="宋体" w:hAnsi="Times New Roman"/>
          <w:b/>
          <w:bCs/>
          <w:color w:val="000000"/>
          <w:sz w:val="21"/>
          <w:szCs w:val="21"/>
        </w:rPr>
        <w:t xml:space="preserve">整体采购</w:t>
      </w:r>
      <w:r>
        <w:rPr>
          <w:rFonts w:ascii="Times New Roman" w:eastAsia="宋体" w:hAnsi="Times New Roman"/>
          <w:b w:val="false"/>
          <w:bCs w:val="false"/>
          <w:color w:val="000000"/>
          <w:sz w:val="21"/>
          <w:szCs w:val="21"/>
        </w:rPr>
        <w:t xml:space="preserve">：基因测序仪、配套设备与器具、拟开展检测项目所需的检测试剂及相应服务，由同一投标人整体投标，</w:t>
      </w:r>
      <w:r>
        <w:rPr>
          <w:rFonts w:ascii="Times New Roman" w:eastAsia="宋体" w:hAnsi="Times New Roman"/>
          <w:b/>
          <w:bCs/>
          <w:color w:val="000000"/>
          <w:sz w:val="21"/>
          <w:szCs w:val="21"/>
        </w:rPr>
        <w:t xml:space="preserve">不接受分包，不接受联合体投标；所投产品应为本国产品</w:t>
      </w:r>
      <w:r>
        <w:rPr>
          <w:rFonts w:ascii="Times New Roman" w:eastAsia="宋体" w:hAnsi="Times New Roman"/>
          <w:b w:val="false"/>
          <w:bCs w:val="false"/>
          <w:color w:val="000000"/>
          <w:sz w:val="21"/>
          <w:szCs w:val="21"/>
        </w:rPr>
        <w:t xml:space="preserve">。实验室已建成并具备功能分区，自上游至下游依次为</w:t>
      </w:r>
      <w:r>
        <w:rPr>
          <w:rFonts w:ascii="Times New Roman" w:eastAsia="宋体" w:hAnsi="Times New Roman"/>
          <w:b/>
          <w:bCs/>
          <w:color w:val="000000"/>
          <w:sz w:val="21"/>
          <w:szCs w:val="21"/>
        </w:rPr>
        <w:t xml:space="preserve">试剂准备区、样本制备区（组织）、样本制备区（血浆）、破碎区（核酸片段化）、文库制备区、杂交捕获区、扩增区、测序区</w:t>
      </w:r>
      <w:r>
        <w:rPr>
          <w:rFonts w:ascii="Times New Roman" w:eastAsia="宋体" w:hAnsi="Times New Roman"/>
          <w:b w:val="false"/>
          <w:bCs w:val="false"/>
          <w:color w:val="000000"/>
          <w:sz w:val="21"/>
          <w:szCs w:val="21"/>
        </w:rPr>
        <w:t xml:space="preserve">，各区独立成间并按单向流程布置；本次不涉及新建与装修改造，设备就位所需的台面承重等局部适配由中标人负责。服务期限自合同签订之日起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年。</w:t>
      </w:r>
    </w:p>
    <w:p>
      <w:pPr>
        <w:keepNext/>
        <w:spacing w:after="140" w:before="320" w:line="380"/>
      </w:pPr>
      <w:r>
        <w:rPr>
          <w:rFonts w:ascii="Arial" w:eastAsia="黑体" w:hAnsi="Arial"/>
          <w:b/>
          <w:bCs/>
          <w:color w:val="000000"/>
          <w:sz w:val="25"/>
          <w:szCs w:val="25"/>
        </w:rPr>
        <w:t xml:space="preserve">测序仪</w:t>
      </w:r>
    </w:p>
    <w:p>
      <w:pPr>
        <w:keepNext/>
        <w:spacing w:after="80" w:before="140"/>
      </w:pPr>
      <w:r>
        <w:rPr>
          <w:rFonts w:ascii="Arial" w:eastAsia="黑体" w:hAnsi="Arial"/>
          <w:b/>
          <w:bCs/>
          <w:color w:val="000000"/>
          <w:sz w:val="20"/>
          <w:szCs w:val="20"/>
        </w:rPr>
        <w:t xml:space="preserve">表 1　基因测序仪要求（不指定品牌与型号）</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726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项目</w:t>
            </w:r>
          </w:p>
        </w:tc>
        <w:tc>
          <w:tcPr>
            <w:tcW w:type="dxa" w:w="72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注册资质</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所投产品应为已取得国家药品监督管理局第三类医疗器械注册证的临床用高通量基因测序仪，注册证在有效期内。</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测序原理</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不限。</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配套试剂的注册匹配</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所投测序仪应具备可配套使用的、已取得第三类医疗器械注册证的肿瘤检测试剂盒。投标人须</w:t>
            </w:r>
            <w:r>
              <w:rPr>
                <w:rFonts w:ascii="Times New Roman" w:eastAsia="宋体" w:hAnsi="Times New Roman"/>
                <w:b/>
                <w:bCs/>
                <w:color w:val="000000"/>
                <w:sz w:val="18"/>
                <w:szCs w:val="18"/>
              </w:rPr>
              <w:t xml:space="preserve">就附件二所列的每一癌种分别列明</w:t>
            </w:r>
            <w:r>
              <w:rPr>
                <w:rFonts w:ascii="Times New Roman" w:eastAsia="宋体" w:hAnsi="Times New Roman"/>
                <w:b w:val="false"/>
                <w:bCs w:val="false"/>
                <w:color w:val="000000"/>
                <w:sz w:val="18"/>
                <w:szCs w:val="18"/>
              </w:rPr>
              <w:t xml:space="preserve">对应试剂盒的名称与注册证编号，并提供注册证复印件；</w:t>
            </w:r>
            <w:r>
              <w:rPr>
                <w:rFonts w:ascii="Times New Roman" w:eastAsia="宋体" w:hAnsi="Times New Roman"/>
                <w:b/>
                <w:bCs/>
                <w:color w:val="000000"/>
                <w:sz w:val="18"/>
                <w:szCs w:val="18"/>
              </w:rPr>
              <w:t xml:space="preserve">试剂盒注册证载明的适用机型应包含所投机型</w:t>
            </w:r>
            <w:r>
              <w:rPr>
                <w:rFonts w:ascii="Times New Roman" w:eastAsia="宋体" w:hAnsi="Times New Roman"/>
                <w:b w:val="false"/>
                <w:bCs w:val="false"/>
                <w:color w:val="000000"/>
                <w:sz w:val="18"/>
                <w:szCs w:val="18"/>
              </w:rPr>
              <w:t xml:space="preserve">。</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建库方法学</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所投试剂盒应采用</w:t>
            </w:r>
            <w:r>
              <w:rPr>
                <w:rFonts w:ascii="Times New Roman" w:eastAsia="宋体" w:hAnsi="Times New Roman"/>
                <w:b/>
                <w:bCs/>
                <w:color w:val="000000"/>
                <w:sz w:val="18"/>
                <w:szCs w:val="18"/>
              </w:rPr>
              <w:t xml:space="preserve">杂交捕获富集法</w:t>
            </w:r>
            <w:r>
              <w:rPr>
                <w:rFonts w:ascii="Times New Roman" w:eastAsia="宋体" w:hAnsi="Times New Roman"/>
                <w:b w:val="false"/>
                <w:bCs w:val="false"/>
                <w:color w:val="000000"/>
                <w:sz w:val="18"/>
                <w:szCs w:val="18"/>
              </w:rPr>
              <w:t xml:space="preserve">建库，支持点突变、插入缺失、基因融合与拷贝数变异的同步检测。组织样本基因组 DNA 的片段化</w:t>
            </w:r>
            <w:r>
              <w:rPr>
                <w:rFonts w:ascii="Times New Roman" w:eastAsia="宋体" w:hAnsi="Times New Roman"/>
                <w:b/>
                <w:bCs/>
                <w:color w:val="000000"/>
                <w:sz w:val="18"/>
                <w:szCs w:val="18"/>
              </w:rPr>
              <w:t xml:space="preserve">采用酶法或物理超声法均可，本项目不作限定</w:t>
            </w:r>
            <w:r>
              <w:rPr>
                <w:rFonts w:ascii="Times New Roman" w:eastAsia="宋体" w:hAnsi="Times New Roman"/>
                <w:b w:val="false"/>
                <w:bCs w:val="false"/>
                <w:color w:val="000000"/>
                <w:sz w:val="18"/>
                <w:szCs w:val="18"/>
              </w:rPr>
              <w:t xml:space="preserve">；附件一已按物理超声法预留片段化设备并单独设置破碎区，投标人应按所投试剂盒的实际方法学一并供应相应设备，并提出其安装与环境条件要求。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样本类型</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应支持</w:t>
            </w:r>
            <w:r>
              <w:rPr>
                <w:rFonts w:ascii="Times New Roman" w:eastAsia="宋体" w:hAnsi="Times New Roman"/>
                <w:b/>
                <w:bCs/>
                <w:color w:val="000000"/>
                <w:sz w:val="18"/>
                <w:szCs w:val="18"/>
              </w:rPr>
              <w:t xml:space="preserve">肿瘤组织（FFPE）与外周血血浆游离 DNA（cfDNA）两类样本</w:t>
            </w:r>
            <w:r>
              <w:rPr>
                <w:rFonts w:ascii="Times New Roman" w:eastAsia="宋体" w:hAnsi="Times New Roman"/>
                <w:b w:val="false"/>
                <w:bCs w:val="false"/>
                <w:color w:val="000000"/>
                <w:sz w:val="18"/>
                <w:szCs w:val="18"/>
              </w:rPr>
              <w:t xml:space="preserve">的检测，且两类样本均具备对应的已注册检测试剂盒。</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检测能力</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单次运行可同时检测的样本数不少于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例。</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7</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应配置与所投试剂盒相匹配的生物信息分析与报告解读软件或软硬件一体设备，支持院内本地化部署，不得要求将原始数据上传至院外。</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8</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环境与配套</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投标人须提供设备的供电、温湿度、承重、给排水与网络接入要求，并说明是否需要配置不间断电源；相关配套条件的适配由中标人负责。</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9</w:t>
            </w:r>
          </w:p>
        </w:tc>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数量</w:t>
            </w:r>
          </w:p>
        </w:tc>
        <w:tc>
          <w:tcPr>
            <w:tcW w:type="dxa" w:w="72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台。</w:t>
            </w:r>
          </w:p>
        </w:tc>
      </w:tr>
    </w:tbl>
    <w:p>
      <w:pPr>
        <w:keepNext/>
        <w:spacing w:after="140" w:before="320" w:line="380"/>
      </w:pPr>
      <w:r>
        <w:rPr>
          <w:rFonts w:ascii="Arial" w:eastAsia="黑体" w:hAnsi="Arial"/>
          <w:b/>
          <w:bCs/>
          <w:color w:val="000000"/>
          <w:sz w:val="25"/>
          <w:szCs w:val="25"/>
        </w:rPr>
        <w:t xml:space="preserve">服务内容</w:t>
      </w:r>
    </w:p>
    <w:p>
      <w:pPr>
        <w:keepNext/>
        <w:spacing w:after="100" w:before="220" w:line="380"/>
      </w:pPr>
      <w:r>
        <w:rPr>
          <w:rFonts w:ascii="Arial" w:eastAsia="黑体" w:hAnsi="Arial"/>
          <w:b/>
          <w:bCs/>
          <w:color w:val="000000"/>
          <w:sz w:val="22"/>
          <w:szCs w:val="22"/>
        </w:rPr>
        <w:t xml:space="preserve">1　负责平台设备与试剂的供应</w:t>
      </w:r>
    </w:p>
    <w:p>
      <w:pPr>
        <w:spacing w:after="100" w:line="380"/>
        <w:ind w:left="0" w:firstLine="420"/>
        <w:jc w:val="both"/>
      </w:pPr>
      <w:r>
        <w:rPr>
          <w:rFonts w:ascii="Times New Roman" w:eastAsia="宋体" w:hAnsi="Times New Roman"/>
          <w:b w:val="false"/>
          <w:bCs w:val="false"/>
          <w:color w:val="000000"/>
          <w:sz w:val="21"/>
          <w:szCs w:val="21"/>
        </w:rPr>
        <w:t xml:space="preserve">按附件一供应全部配套设备与器具，并供应拟开展检测项目所需的检测试剂。</w:t>
      </w:r>
      <w:r>
        <w:rPr>
          <w:rFonts w:ascii="Times New Roman" w:eastAsia="宋体" w:hAnsi="Times New Roman"/>
          <w:b/>
          <w:bCs/>
          <w:color w:val="000000"/>
          <w:sz w:val="21"/>
          <w:szCs w:val="21"/>
        </w:rPr>
        <w:t xml:space="preserve">设备与试剂应满足实验室开展临床检测的完整需要，投标人不得作缺项或以「院方自备」等方式排除。</w:t>
      </w:r>
    </w:p>
    <w:p>
      <w:pPr>
        <w:keepNext/>
        <w:spacing w:after="100" w:before="220" w:line="380"/>
      </w:pPr>
      <w:r>
        <w:rPr>
          <w:rFonts w:ascii="Arial" w:eastAsia="黑体" w:hAnsi="Arial"/>
          <w:b/>
          <w:bCs/>
          <w:color w:val="000000"/>
          <w:sz w:val="22"/>
          <w:szCs w:val="22"/>
        </w:rPr>
        <w:t xml:space="preserve">2　负责设备进场、安装、调试与场地适配</w:t>
      </w:r>
    </w:p>
    <w:p>
      <w:pPr>
        <w:spacing w:after="100" w:line="380"/>
        <w:ind w:left="0" w:firstLine="420"/>
        <w:jc w:val="both"/>
      </w:pPr>
      <w:r>
        <w:rPr>
          <w:rFonts w:ascii="Times New Roman" w:eastAsia="宋体" w:hAnsi="Times New Roman"/>
          <w:b w:val="false"/>
          <w:bCs w:val="false"/>
          <w:color w:val="000000"/>
          <w:sz w:val="21"/>
          <w:szCs w:val="21"/>
        </w:rPr>
        <w:t xml:space="preserve">负责设备的运输、就位、安装与调试，直至各功能分区具备开展临床检测的条件。进场前完成现场勘察，就台面承重、供电、给排水、温湿度与网络接入等条件提出书面要求；</w:t>
      </w:r>
      <w:r>
        <w:rPr>
          <w:rFonts w:ascii="Times New Roman" w:eastAsia="宋体" w:hAnsi="Times New Roman"/>
          <w:b/>
          <w:bCs/>
          <w:color w:val="000000"/>
          <w:sz w:val="21"/>
          <w:szCs w:val="21"/>
        </w:rPr>
        <w:t xml:space="preserve">因设备就位需对既有实验台面及配套设施进行局部适配调整的，由中标人负责实施，费用计入报价。</w:t>
      </w:r>
    </w:p>
    <w:p>
      <w:pPr>
        <w:keepNext/>
        <w:spacing w:after="100" w:before="220" w:line="380"/>
      </w:pPr>
      <w:r>
        <w:rPr>
          <w:rFonts w:ascii="Arial" w:eastAsia="黑体" w:hAnsi="Arial"/>
          <w:b/>
          <w:bCs/>
          <w:color w:val="000000"/>
          <w:sz w:val="22"/>
          <w:szCs w:val="22"/>
        </w:rPr>
        <w:t xml:space="preserve">3　负责质量管理体系建设，配合性能验证与室间质评</w:t>
      </w:r>
    </w:p>
    <w:p>
      <w:pPr>
        <w:spacing w:after="100" w:line="380"/>
        <w:ind w:left="0" w:firstLine="420"/>
        <w:jc w:val="both"/>
      </w:pPr>
      <w:r>
        <w:rPr>
          <w:rFonts w:ascii="Times New Roman" w:eastAsia="宋体" w:hAnsi="Times New Roman"/>
          <w:b w:val="false"/>
          <w:bCs w:val="false"/>
          <w:color w:val="000000"/>
          <w:sz w:val="21"/>
          <w:szCs w:val="21"/>
        </w:rPr>
        <w:t xml:space="preserve">配合建立本平台检测项目的标准操作规程及相关质量管理体系文件；配合完成方法学性能验证（精密度、正确度、检出限、可报告范围等）；协助院方参加室间质评并上报结果；配合院方通过临床基因扩增检验实验室技术审核。</w:t>
      </w:r>
      <w:r>
        <w:rPr>
          <w:rFonts w:ascii="Times New Roman" w:eastAsia="宋体" w:hAnsi="Times New Roman"/>
          <w:b/>
          <w:bCs/>
          <w:color w:val="000000"/>
          <w:sz w:val="21"/>
          <w:szCs w:val="21"/>
        </w:rPr>
        <w:t xml:space="preserve">所投试剂盒须通过院方组织的性能验证方可用于临床检测，验证结论由院方确认，未通过验证的产品应予更换。</w:t>
      </w:r>
    </w:p>
    <w:p>
      <w:pPr>
        <w:keepNext/>
        <w:spacing w:after="100" w:before="220" w:line="380"/>
      </w:pPr>
      <w:r>
        <w:rPr>
          <w:rFonts w:ascii="Arial" w:eastAsia="黑体" w:hAnsi="Arial"/>
          <w:b/>
          <w:bCs/>
          <w:color w:val="000000"/>
          <w:sz w:val="22"/>
          <w:szCs w:val="22"/>
        </w:rPr>
        <w:t xml:space="preserve">4　负责 NGS 项目技术转移与人员培训</w:t>
      </w:r>
    </w:p>
    <w:p>
      <w:pPr>
        <w:spacing w:after="100" w:line="380"/>
        <w:ind w:left="0" w:firstLine="420"/>
        <w:jc w:val="both"/>
      </w:pPr>
      <w:r>
        <w:rPr>
          <w:rFonts w:ascii="Times New Roman" w:eastAsia="宋体" w:hAnsi="Times New Roman"/>
          <w:b w:val="false"/>
          <w:bCs w:val="false"/>
          <w:color w:val="000000"/>
          <w:sz w:val="21"/>
          <w:szCs w:val="21"/>
        </w:rPr>
        <w:t xml:space="preserve">对院方指定人员进行系统培训，内容覆盖样本前处理、文库构建、杂交捕获、上机测序、数据分析与报告解读全流程，</w:t>
      </w:r>
      <w:r>
        <w:rPr>
          <w:rFonts w:ascii="Times New Roman" w:eastAsia="宋体" w:hAnsi="Times New Roman"/>
          <w:b/>
          <w:bCs/>
          <w:color w:val="000000"/>
          <w:sz w:val="21"/>
          <w:szCs w:val="21"/>
        </w:rPr>
        <w:t xml:space="preserve">直至院方人员具备独立操作能力</w:t>
      </w:r>
      <w:r>
        <w:rPr>
          <w:rFonts w:ascii="Times New Roman" w:eastAsia="宋体" w:hAnsi="Times New Roman"/>
          <w:b w:val="false"/>
          <w:bCs w:val="false"/>
          <w:color w:val="000000"/>
          <w:sz w:val="21"/>
          <w:szCs w:val="21"/>
        </w:rPr>
        <w:t xml:space="preserve">。培训应形成书面记录与考核结论。</w:t>
      </w:r>
    </w:p>
    <w:p>
      <w:pPr>
        <w:keepNext/>
        <w:spacing w:after="100" w:before="220" w:line="380"/>
      </w:pPr>
      <w:r>
        <w:rPr>
          <w:rFonts w:ascii="Arial" w:eastAsia="黑体" w:hAnsi="Arial"/>
          <w:b/>
          <w:bCs/>
          <w:color w:val="000000"/>
          <w:sz w:val="22"/>
          <w:szCs w:val="22"/>
        </w:rPr>
        <w:t xml:space="preserve">5　负责临床沟通与报告解读支持</w:t>
      </w:r>
    </w:p>
    <w:p>
      <w:pPr>
        <w:spacing w:after="100" w:line="380"/>
        <w:ind w:left="0" w:firstLine="420"/>
        <w:jc w:val="both"/>
      </w:pPr>
      <w:r>
        <w:rPr>
          <w:rFonts w:ascii="Times New Roman" w:eastAsia="宋体" w:hAnsi="Times New Roman"/>
          <w:b w:val="false"/>
          <w:bCs w:val="false"/>
          <w:color w:val="000000"/>
          <w:sz w:val="21"/>
          <w:szCs w:val="21"/>
        </w:rPr>
        <w:t xml:space="preserve">提供检测项目的临床沟通、疑难病例报告解读的技术支持；配合院方开展面向临床科室的技术交流。</w:t>
      </w:r>
    </w:p>
    <w:p>
      <w:pPr>
        <w:keepNext/>
        <w:spacing w:after="100" w:before="220" w:line="380"/>
      </w:pPr>
      <w:r>
        <w:rPr>
          <w:rFonts w:ascii="Arial" w:eastAsia="黑体" w:hAnsi="Arial"/>
          <w:b/>
          <w:bCs/>
          <w:color w:val="000000"/>
          <w:sz w:val="22"/>
          <w:szCs w:val="22"/>
        </w:rPr>
        <w:t xml:space="preserve">6　负责售后维保与备件供应</w:t>
      </w:r>
    </w:p>
    <w:p>
      <w:pPr>
        <w:spacing w:after="100" w:line="380"/>
        <w:ind w:left="0" w:firstLine="420"/>
        <w:jc w:val="both"/>
      </w:pPr>
      <w:r>
        <w:rPr>
          <w:rFonts w:ascii="Times New Roman" w:eastAsia="宋体" w:hAnsi="Times New Roman"/>
          <w:b w:val="false"/>
          <w:bCs w:val="false"/>
          <w:color w:val="000000"/>
          <w:sz w:val="21"/>
          <w:szCs w:val="21"/>
        </w:rPr>
        <w:t xml:space="preserve">提供设备的日常维护、故障响应与备件供应。质保期限、故障响应与到场时限由双方在合同中约定；质保期满后的维保价格，投标人应在投标文件中一并报出。</w:t>
      </w:r>
    </w:p>
    <w:p>
      <w:pPr>
        <w:keepNext/>
        <w:spacing w:after="100" w:before="220" w:line="380"/>
      </w:pPr>
      <w:r>
        <w:rPr>
          <w:rFonts w:ascii="Arial" w:eastAsia="黑体" w:hAnsi="Arial"/>
          <w:b/>
          <w:bCs/>
          <w:color w:val="000000"/>
          <w:sz w:val="22"/>
          <w:szCs w:val="22"/>
        </w:rPr>
        <w:t xml:space="preserve">7　负责数据安全与本地化部署</w:t>
      </w:r>
    </w:p>
    <w:p>
      <w:pPr>
        <w:spacing w:after="100" w:line="380"/>
        <w:ind w:left="0" w:firstLine="420"/>
        <w:jc w:val="both"/>
      </w:pPr>
      <w:r>
        <w:rPr>
          <w:rFonts w:ascii="Times New Roman" w:eastAsia="宋体" w:hAnsi="Times New Roman"/>
          <w:b w:val="false"/>
          <w:bCs w:val="false"/>
          <w:color w:val="000000"/>
          <w:sz w:val="21"/>
          <w:szCs w:val="21"/>
        </w:rPr>
        <w:t xml:space="preserve">分析解读软硬件应支持院内本地化部署。</w:t>
      </w:r>
      <w:r>
        <w:rPr>
          <w:rFonts w:ascii="Times New Roman" w:eastAsia="宋体" w:hAnsi="Times New Roman"/>
          <w:b/>
          <w:bCs/>
          <w:color w:val="000000"/>
          <w:sz w:val="21"/>
          <w:szCs w:val="21"/>
        </w:rPr>
        <w:t xml:space="preserve">本平台产生的检测数据归院方所有，应存储于院内，不得上传至院外，不得出境</w:t>
      </w:r>
      <w:r>
        <w:rPr>
          <w:rFonts w:ascii="Times New Roman" w:eastAsia="宋体" w:hAnsi="Times New Roman"/>
          <w:b w:val="false"/>
          <w:bCs w:val="false"/>
          <w:color w:val="000000"/>
          <w:sz w:val="21"/>
          <w:szCs w:val="21"/>
        </w:rPr>
        <w:t xml:space="preserve">；涉及人类遗传资源的活动，应符合《中华人民共和国人类遗传资源管理条例》及其实施细则的规定。</w:t>
      </w:r>
    </w:p>
    <w:p>
      <w:pPr>
        <w:keepNext/>
        <w:spacing w:after="140" w:before="320" w:line="380"/>
      </w:pPr>
      <w:r>
        <w:rPr>
          <w:rFonts w:ascii="Arial" w:eastAsia="黑体" w:hAnsi="Arial"/>
          <w:b/>
          <w:bCs/>
          <w:color w:val="000000"/>
          <w:sz w:val="25"/>
          <w:szCs w:val="25"/>
        </w:rPr>
        <w:t xml:space="preserve">人员规划</w:t>
      </w:r>
    </w:p>
    <w:p>
      <w:pPr>
        <w:spacing w:after="100" w:line="380"/>
        <w:ind w:left="0" w:firstLine="420"/>
        <w:jc w:val="both"/>
      </w:pPr>
      <w:r>
        <w:rPr>
          <w:rFonts w:ascii="Times New Roman" w:eastAsia="宋体" w:hAnsi="Times New Roman"/>
          <w:b w:val="false"/>
          <w:bCs w:val="false"/>
          <w:color w:val="000000"/>
          <w:sz w:val="21"/>
          <w:szCs w:val="21"/>
        </w:rPr>
        <w:t xml:space="preserve">中标人应指定项目负责人一名，并</w:t>
      </w:r>
      <w:r>
        <w:rPr>
          <w:rFonts w:ascii="Times New Roman" w:eastAsia="宋体" w:hAnsi="Times New Roman"/>
          <w:b/>
          <w:bCs/>
          <w:color w:val="000000"/>
          <w:sz w:val="21"/>
          <w:szCs w:val="21"/>
        </w:rPr>
        <w:t xml:space="preserve">按项目实际需要配备具备分子诊断或临床检验相关背景的技术人员不少于 1 名，参与日常项目的技术对接、培训带教与运行配合</w:t>
      </w:r>
      <w:r>
        <w:rPr>
          <w:rFonts w:ascii="Times New Roman" w:eastAsia="宋体" w:hAnsi="Times New Roman"/>
          <w:b w:val="false"/>
          <w:bCs w:val="false"/>
          <w:color w:val="000000"/>
          <w:sz w:val="21"/>
          <w:szCs w:val="21"/>
        </w:rPr>
        <w:t xml:space="preserve">。其工作范围为技术支持与运行配合，检验报告由院方具备相应资质的人员审核签发。中标人人员进入实验室应遵守院方生物安全、感染控制与信息安全的相关规定，并签署保密承诺。培训完成并经院方考核合格后，驻场支持转为定期回访与按需响应。</w:t>
      </w:r>
    </w:p>
    <w:p>
      <w:pPr>
        <w:keepNext/>
        <w:spacing w:after="140" w:before="320" w:line="380"/>
      </w:pPr>
      <w:r>
        <w:rPr>
          <w:rFonts w:ascii="Arial" w:eastAsia="黑体" w:hAnsi="Arial"/>
          <w:b/>
          <w:bCs/>
          <w:color w:val="000000"/>
          <w:sz w:val="25"/>
          <w:szCs w:val="25"/>
        </w:rPr>
        <w:t xml:space="preserve">应急事件对接和处理</w:t>
      </w:r>
    </w:p>
    <w:p>
      <w:pPr>
        <w:spacing w:after="100" w:line="380"/>
        <w:ind w:left="0" w:firstLine="420"/>
        <w:jc w:val="both"/>
      </w:pPr>
      <w:r>
        <w:rPr>
          <w:rFonts w:ascii="Times New Roman" w:eastAsia="宋体" w:hAnsi="Times New Roman"/>
          <w:b w:val="false"/>
          <w:bCs w:val="false"/>
          <w:color w:val="000000"/>
          <w:sz w:val="21"/>
          <w:szCs w:val="21"/>
        </w:rPr>
        <w:t xml:space="preserve">中标人应就下列情形制定应急预案并在合同中约定响应时限，保障检测报告的时效性与准确性。</w:t>
      </w:r>
    </w:p>
    <w:p>
      <w:pPr>
        <w:keepNext/>
        <w:spacing w:after="80" w:before="140"/>
      </w:pPr>
      <w:r>
        <w:rPr>
          <w:rFonts w:ascii="Arial" w:eastAsia="黑体" w:hAnsi="Arial"/>
          <w:b/>
          <w:bCs/>
          <w:color w:val="000000"/>
          <w:sz w:val="20"/>
          <w:szCs w:val="20"/>
        </w:rPr>
        <w:t xml:space="preserve">表 2　应急事件与处理方案</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2400"/>
        <w:gridCol w:w="7460"/>
      </w:tblGrid>
      <w:tr>
        <w:trPr>
          <w:tblHeader/>
        </w:trPr>
        <w:tc>
          <w:tcPr>
            <w:tcW w:type="dxa" w:w="24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应急事件</w:t>
            </w:r>
          </w:p>
        </w:tc>
        <w:tc>
          <w:tcPr>
            <w:tcW w:type="dxa" w:w="74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处理方案</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核心设备故障</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按合同约定时限响应与到场；无法在约定时限内修复的，提供同等性能备机，或协助将标本委托至具备临床基因扩增检验实验室资质及相应检测项目能力的第三方医学检验机构检测，委托检验须另行签订协议并报院方备案。</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试剂或耗材供应中断</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建立安全库存并提前告知供应风险；发生中断的，及时提出替代方案，因供应中断导致检测延误的，按合同约定承担责任。</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危急值与加急标本</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按院方危急值管理制度优先处理并复核确认，结果电话通知至临床并留存记录。</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数据或分析系统异常</w:t>
            </w:r>
          </w:p>
        </w:tc>
        <w:tc>
          <w:tcPr>
            <w:tcW w:type="dxa" w:w="74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及时响应，协助完成数据恢复与追溯，并出具书面说明；涉及数据完整性的，配合院方开展核查。</w:t>
            </w:r>
          </w:p>
        </w:tc>
      </w:tr>
      <w:tr>
        <w:tc>
          <w:tcPr>
            <w:tcW w:type="dxa" w:w="24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检验质量争议</w:t>
            </w:r>
          </w:p>
        </w:tc>
        <w:tc>
          <w:tcPr>
            <w:tcW w:type="dxa" w:w="74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配合院方开展原因调查，提供批次记录、质控数据与方法学资料；确因产品或服务原因造成损失的，按合同约定承担责任并提出纠正措施。</w:t>
            </w:r>
          </w:p>
        </w:tc>
      </w:tr>
    </w:tbl>
    <w:p>
      <w:pPr>
        <w:keepNext/>
        <w:spacing w:after="140" w:before="320" w:line="380"/>
      </w:pPr>
      <w:r>
        <w:rPr>
          <w:rFonts w:ascii="Arial" w:eastAsia="黑体" w:hAnsi="Arial"/>
          <w:b/>
          <w:bCs/>
          <w:color w:val="000000"/>
          <w:sz w:val="25"/>
          <w:szCs w:val="25"/>
        </w:rPr>
        <w:t xml:space="preserve">拟开展检测项目</w:t>
      </w:r>
    </w:p>
    <w:p>
      <w:pPr>
        <w:spacing w:after="100" w:line="380"/>
        <w:ind w:left="0" w:firstLine="420"/>
        <w:jc w:val="both"/>
      </w:pPr>
      <w:r>
        <w:rPr>
          <w:rFonts w:ascii="Times New Roman" w:eastAsia="宋体" w:hAnsi="Times New Roman"/>
          <w:b w:val="false"/>
          <w:bCs w:val="false"/>
          <w:color w:val="000000"/>
          <w:sz w:val="21"/>
          <w:szCs w:val="21"/>
        </w:rPr>
        <w:t xml:space="preserve">本平台首批拟开展下列癌种的检测项目。每一癌种可包含多个检测项目及多个试剂盒，具体清单由投标人在投标文件中逐项列明。</w:t>
      </w:r>
      <w:r>
        <w:rPr>
          <w:rFonts w:ascii="Times New Roman" w:eastAsia="宋体" w:hAnsi="Times New Roman"/>
          <w:b/>
          <w:bCs/>
          <w:color w:val="000000"/>
          <w:sz w:val="21"/>
          <w:szCs w:val="21"/>
        </w:rPr>
        <w:t xml:space="preserve">所投试剂盒须已取得国家药品监督管理局第三类医疗器械注册证，注册适用范围覆盖所对应的癌种，且注册证载明的适用机型包含所投基因测序仪机型。</w:t>
      </w:r>
    </w:p>
    <w:p>
      <w:pPr>
        <w:keepNext/>
        <w:spacing w:after="80" w:before="140"/>
      </w:pPr>
      <w:r>
        <w:rPr>
          <w:rFonts w:ascii="Arial" w:eastAsia="黑体" w:hAnsi="Arial"/>
          <w:b/>
          <w:bCs/>
          <w:color w:val="000000"/>
          <w:sz w:val="20"/>
          <w:szCs w:val="20"/>
        </w:rPr>
        <w:t xml:space="preserve">表 3　首批拟开展检测项目</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716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20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癌种</w:t>
            </w:r>
          </w:p>
        </w:tc>
        <w:tc>
          <w:tcPr>
            <w:tcW w:type="dxa" w:w="7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核心检测基因与变异类型（最低要求）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非小细胞肺癌</w:t>
            </w:r>
          </w:p>
        </w:tc>
        <w:tc>
          <w:tcPr>
            <w:tcW w:type="dxa" w:w="7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EGFR、ALK、ROS1 等基因的点突变、插入缺失与基因融合。</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结直肠癌</w:t>
            </w:r>
          </w:p>
        </w:tc>
        <w:tc>
          <w:tcPr>
            <w:tcW w:type="dxa" w:w="7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KRAS、NRAS、BRAF 等基因的点突变与插入缺失。</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乳腺癌</w:t>
            </w:r>
          </w:p>
        </w:tc>
        <w:tc>
          <w:tcPr>
            <w:tcW w:type="dxa" w:w="7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BRCA1／BRCA2、PIK3CA 等基因的点突变与插入缺失。</w:t>
            </w:r>
          </w:p>
        </w:tc>
      </w:tr>
    </w:tbl>
    <w:p>
      <w:pPr>
        <w:spacing w:after="120" w:before="90" w:line="320"/>
        <w:ind w:firstLine="380"/>
        <w:jc w:val="both"/>
      </w:pPr>
      <w:r>
        <w:rPr>
          <w:rFonts w:ascii="Times New Roman" w:eastAsia="宋体" w:hAnsi="Times New Roman"/>
          <w:b w:val="false"/>
          <w:bCs w:val="false"/>
          <w:color w:val="000000"/>
          <w:sz w:val="19"/>
          <w:szCs w:val="19"/>
        </w:rPr>
        <w:t xml:space="preserve">注：上列为各癌种的</w:t>
      </w:r>
      <w:r>
        <w:rPr>
          <w:rFonts w:ascii="Times New Roman" w:eastAsia="宋体" w:hAnsi="Times New Roman"/>
          <w:b/>
          <w:bCs/>
          <w:color w:val="000000"/>
          <w:sz w:val="19"/>
          <w:szCs w:val="19"/>
        </w:rPr>
        <w:t xml:space="preserve">核心检测基因，属最低检测范围要求</w:t>
      </w:r>
      <w:r>
        <w:rPr>
          <w:rFonts w:ascii="Times New Roman" w:eastAsia="宋体" w:hAnsi="Times New Roman"/>
          <w:b w:val="false"/>
          <w:bCs w:val="false"/>
          <w:color w:val="000000"/>
          <w:sz w:val="19"/>
          <w:szCs w:val="19"/>
        </w:rPr>
        <w:t xml:space="preserve">，投标产品的检测范围可宽于上列内容，</w:t>
      </w:r>
      <w:r>
        <w:rPr>
          <w:rFonts w:ascii="Times New Roman" w:eastAsia="宋体" w:hAnsi="Times New Roman"/>
          <w:b/>
          <w:bCs/>
          <w:color w:val="000000"/>
          <w:sz w:val="19"/>
          <w:szCs w:val="19"/>
        </w:rPr>
        <w:t xml:space="preserve">覆盖更多靶点的产品不因此受限</w:t>
      </w:r>
      <w:r>
        <w:rPr>
          <w:rFonts w:ascii="Times New Roman" w:eastAsia="宋体" w:hAnsi="Times New Roman"/>
          <w:b w:val="false"/>
          <w:bCs w:val="false"/>
          <w:color w:val="000000"/>
          <w:sz w:val="19"/>
          <w:szCs w:val="19"/>
        </w:rPr>
        <w:t xml:space="preserve">。检测项目的收费按江苏省现行医疗服务价格政策执行，现行适用收费编码 012100000200000「高通量测序法检测费（病理样本）」，按项目分为 4,500 元、7,000 元、9,900 元等档次；具体产品适用的档次与最终开展范围，以院方完成新增项目论证与物价备案后的结果为准。</w:t>
      </w:r>
    </w:p>
    <w:p>
      <w:pPr>
        <w:keepNext/>
        <w:spacing w:after="140" w:before="320" w:line="380"/>
      </w:pPr>
      <w:r>
        <w:rPr>
          <w:rFonts w:ascii="Arial" w:eastAsia="黑体" w:hAnsi="Arial"/>
          <w:b/>
          <w:bCs/>
          <w:color w:val="000000"/>
          <w:sz w:val="25"/>
          <w:szCs w:val="25"/>
        </w:rPr>
        <w:t xml:space="preserve">报价要求</w:t>
      </w:r>
    </w:p>
    <w:p>
      <w:pPr>
        <w:keepNext/>
        <w:spacing w:after="80" w:before="140"/>
      </w:pPr>
      <w:r>
        <w:rPr>
          <w:rFonts w:ascii="Arial" w:eastAsia="黑体" w:hAnsi="Arial"/>
          <w:b/>
          <w:bCs/>
          <w:color w:val="000000"/>
          <w:sz w:val="20"/>
          <w:szCs w:val="20"/>
        </w:rPr>
        <w:t xml:space="preserve">表 4　报价口径</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700"/>
        <w:gridCol w:w="8160"/>
      </w:tblGrid>
      <w:tr>
        <w:trPr>
          <w:tblHeader/>
        </w:trPr>
        <w:tc>
          <w:tcPr>
            <w:tcW w:type="dxa" w:w="1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报价内容</w:t>
            </w:r>
          </w:p>
        </w:tc>
        <w:tc>
          <w:tcPr>
            <w:tcW w:type="dxa" w:w="8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口径</w:t>
            </w:r>
          </w:p>
        </w:tc>
      </w:tr>
      <w:tr>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设备</w:t>
            </w:r>
          </w:p>
        </w:tc>
        <w:tc>
          <w:tcPr>
            <w:tcW w:type="dxa" w:w="8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按附件一整包报价，含运输、就位、安装、调试与场地适配。</w:t>
            </w:r>
            <w:r>
              <w:rPr>
                <w:rFonts w:ascii="Times New Roman" w:eastAsia="宋体" w:hAnsi="Times New Roman"/>
                <w:b/>
                <w:bCs/>
                <w:color w:val="000000"/>
                <w:sz w:val="18"/>
                <w:szCs w:val="18"/>
              </w:rPr>
              <w:t xml:space="preserve">设备款于最终验收合格后一次性支付；设备所有权自最终验收合格之日起归院方所有。</w:t>
            </w:r>
          </w:p>
        </w:tc>
      </w:tr>
      <w:tr>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检测试剂</w:t>
            </w:r>
          </w:p>
        </w:tc>
        <w:tc>
          <w:tcPr>
            <w:tcW w:type="dxa" w:w="8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以</w:t>
            </w:r>
            <w:r>
              <w:rPr>
                <w:rFonts w:ascii="Times New Roman" w:eastAsia="宋体" w:hAnsi="Times New Roman"/>
                <w:b/>
                <w:bCs/>
                <w:color w:val="000000"/>
                <w:sz w:val="18"/>
                <w:szCs w:val="18"/>
              </w:rPr>
              <w:t xml:space="preserve">所对应检测项目的收费标准为基准</w:t>
            </w:r>
            <w:r>
              <w:rPr>
                <w:rFonts w:ascii="Times New Roman" w:eastAsia="宋体" w:hAnsi="Times New Roman"/>
                <w:b w:val="false"/>
                <w:bCs w:val="false"/>
                <w:color w:val="000000"/>
                <w:sz w:val="18"/>
                <w:szCs w:val="18"/>
              </w:rPr>
              <w:t xml:space="preserve">报价，</w:t>
            </w:r>
            <w:r>
              <w:rPr>
                <w:rFonts w:ascii="Times New Roman" w:eastAsia="宋体" w:hAnsi="Times New Roman"/>
                <w:b/>
                <w:bCs/>
                <w:color w:val="000000"/>
                <w:sz w:val="18"/>
                <w:szCs w:val="18"/>
              </w:rPr>
              <w:t xml:space="preserve">所报试剂单价不高于该收费标准的 ＿＿ ％</w:t>
            </w:r>
            <w:r>
              <w:rPr>
                <w:rFonts w:ascii="Times New Roman" w:eastAsia="宋体" w:hAnsi="Times New Roman"/>
                <w:b w:val="false"/>
                <w:bCs w:val="false"/>
                <w:color w:val="000000"/>
                <w:sz w:val="18"/>
                <w:szCs w:val="18"/>
              </w:rPr>
              <w:t xml:space="preserve">，该比例在服务期内保持不变。</w:t>
            </w:r>
            <w:r>
              <w:rPr>
                <w:rFonts w:ascii="Times New Roman" w:eastAsia="宋体" w:hAnsi="Times New Roman"/>
                <w:b/>
                <w:bCs/>
                <w:color w:val="000000"/>
                <w:sz w:val="18"/>
                <w:szCs w:val="18"/>
              </w:rPr>
              <w:t xml:space="preserve">服务期内医疗服务价格政策调整的，按调整后的收费标准与所报比例执行。</w:t>
            </w:r>
            <w:r>
              <w:rPr>
                <w:rFonts w:ascii="Times New Roman" w:eastAsia="宋体" w:hAnsi="Times New Roman"/>
                <w:b w:val="false"/>
                <w:bCs w:val="false"/>
                <w:color w:val="000000"/>
                <w:sz w:val="18"/>
                <w:szCs w:val="18"/>
              </w:rPr>
              <w:t xml:space="preserve">所投试剂纳入国家或省级集中带量采购范围的，按中选结果执行。试剂款按实际供货结算，结算账期由双方在合同中约定。</w:t>
            </w:r>
          </w:p>
        </w:tc>
      </w:tr>
      <w:tr>
        <w:tc>
          <w:tcPr>
            <w:tcW w:type="dxa" w:w="1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维保</w:t>
            </w:r>
          </w:p>
        </w:tc>
        <w:tc>
          <w:tcPr>
            <w:tcW w:type="dxa" w:w="8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质保期满后的维保价格一并报出。</w:t>
            </w:r>
          </w:p>
        </w:tc>
      </w:tr>
      <w:tr>
        <w:tc>
          <w:tcPr>
            <w:tcW w:type="dxa" w:w="1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移机服务</w:t>
            </w:r>
          </w:p>
        </w:tc>
        <w:tc>
          <w:tcPr>
            <w:tcW w:type="dxa" w:w="8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服务期内因院方场地调整需要移机的，</w:t>
            </w:r>
            <w:r>
              <w:rPr>
                <w:rFonts w:ascii="Times New Roman" w:eastAsia="宋体" w:hAnsi="Times New Roman"/>
                <w:b/>
                <w:bCs/>
                <w:color w:val="000000"/>
                <w:sz w:val="18"/>
                <w:szCs w:val="18"/>
              </w:rPr>
              <w:t xml:space="preserve">单独报出移机服务价格，作为可选报价项单独列示</w:t>
            </w:r>
            <w:r>
              <w:rPr>
                <w:rFonts w:ascii="Times New Roman" w:eastAsia="宋体" w:hAnsi="Times New Roman"/>
                <w:b w:val="false"/>
                <w:bCs w:val="false"/>
                <w:color w:val="000000"/>
                <w:sz w:val="18"/>
                <w:szCs w:val="18"/>
              </w:rPr>
              <w:t xml:space="preserve">，由院方按实际需要决定是否实施；移机不影响原质保期的连续计算。</w:t>
            </w:r>
          </w:p>
        </w:tc>
      </w:tr>
    </w:tbl>
    <w:p>
      <w:pPr>
        <w:spacing w:after="120" w:before="160" w:line="320"/>
        <w:ind w:firstLine="420"/>
        <w:jc w:val="both"/>
      </w:pPr>
      <w:r>
        <w:rPr>
          <w:rFonts w:ascii="Times New Roman" w:eastAsia="宋体" w:hAnsi="Times New Roman"/>
          <w:b w:val="false"/>
          <w:bCs w:val="false"/>
          <w:color w:val="000000"/>
          <w:sz w:val="19"/>
          <w:szCs w:val="19"/>
        </w:rPr>
        <w:t xml:space="preserve">本文件为</w:t>
      </w:r>
      <w:r>
        <w:rPr>
          <w:rFonts w:ascii="Times New Roman" w:eastAsia="宋体" w:hAnsi="Times New Roman"/>
          <w:b/>
          <w:bCs/>
          <w:color w:val="000000"/>
          <w:sz w:val="19"/>
          <w:szCs w:val="19"/>
        </w:rPr>
        <w:t xml:space="preserve">建设需求</w:t>
      </w:r>
      <w:r>
        <w:rPr>
          <w:rFonts w:ascii="Times New Roman" w:eastAsia="宋体" w:hAnsi="Times New Roman"/>
          <w:b w:val="false"/>
          <w:bCs w:val="false"/>
          <w:color w:val="000000"/>
          <w:sz w:val="19"/>
          <w:szCs w:val="19"/>
        </w:rPr>
        <w:t xml:space="preserve">，仅描述本项目的技术与商务需求。投标人资格条件、评审办法、合同条款及其他未尽事宜，以招标文件相应章节及采购合同约定为准。</w:t>
      </w:r>
    </w:p>
    <w:p>
      <w:pPr>
        <w:keepNext/>
        <w:spacing w:after="140" w:before="320" w:line="380"/>
      </w:pPr>
      <w:r>
        <w:rPr>
          <w:rFonts w:ascii="Arial" w:eastAsia="黑体" w:hAnsi="Arial"/>
          <w:b/>
          <w:bCs/>
          <w:color w:val="000000"/>
          <w:sz w:val="25"/>
          <w:szCs w:val="25"/>
        </w:rPr>
        <w:t xml:space="preserve">附件一　设备清单</w:t>
      </w:r>
    </w:p>
    <w:p>
      <w:pPr>
        <w:spacing w:after="100" w:line="380"/>
        <w:ind w:left="0" w:firstLine="420"/>
        <w:jc w:val="both"/>
      </w:pPr>
      <w:r>
        <w:rPr>
          <w:rFonts w:ascii="Times New Roman" w:eastAsia="宋体" w:hAnsi="Times New Roman"/>
          <w:b w:val="false"/>
          <w:bCs w:val="false"/>
          <w:color w:val="000000"/>
          <w:sz w:val="21"/>
          <w:szCs w:val="21"/>
        </w:rPr>
        <w:t xml:space="preserve">本清单按功能分区列明，共 75 项、118 台（件），</w:t>
      </w:r>
      <w:r>
        <w:rPr>
          <w:rFonts w:ascii="Times New Roman" w:eastAsia="宋体" w:hAnsi="Times New Roman"/>
          <w:b/>
          <w:bCs/>
          <w:color w:val="000000"/>
          <w:sz w:val="21"/>
          <w:szCs w:val="21"/>
        </w:rPr>
        <w:t xml:space="preserve">由中标人全部供应</w:t>
      </w:r>
      <w:r>
        <w:rPr>
          <w:rFonts w:ascii="Times New Roman" w:eastAsia="宋体" w:hAnsi="Times New Roman"/>
          <w:b w:val="false"/>
          <w:bCs w:val="false"/>
          <w:color w:val="000000"/>
          <w:sz w:val="21"/>
          <w:szCs w:val="21"/>
        </w:rPr>
        <w:t xml:space="preserve">。清单以设备通用名称与技术参数描述需求，</w:t>
      </w:r>
      <w:r>
        <w:rPr>
          <w:rFonts w:ascii="Times New Roman" w:eastAsia="宋体" w:hAnsi="Times New Roman"/>
          <w:b/>
          <w:bCs/>
          <w:color w:val="000000"/>
          <w:sz w:val="21"/>
          <w:szCs w:val="21"/>
        </w:rPr>
        <w:t xml:space="preserve">不指定品牌与型号</w:t>
      </w:r>
      <w:r>
        <w:rPr>
          <w:rFonts w:ascii="Times New Roman" w:eastAsia="宋体" w:hAnsi="Times New Roman"/>
          <w:b w:val="false"/>
          <w:bCs w:val="false"/>
          <w:color w:val="000000"/>
          <w:sz w:val="21"/>
          <w:szCs w:val="21"/>
        </w:rPr>
        <w:t xml:space="preserve">；投标人应逐项应答所投产品的品牌、型号与技术参数。基因测序仪的要求见表 1。</w:t>
      </w:r>
    </w:p>
    <w:p>
      <w:pPr>
        <w:keepNext/>
        <w:spacing w:after="80" w:before="140"/>
      </w:pPr>
      <w:r>
        <w:rPr>
          <w:rFonts w:ascii="Arial" w:eastAsia="黑体" w:hAnsi="Arial"/>
          <w:b/>
          <w:bCs/>
          <w:color w:val="000000"/>
          <w:sz w:val="20"/>
          <w:szCs w:val="20"/>
        </w:rPr>
        <w:t xml:space="preserve">附表 1　配套设备与器具清单</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1200"/>
        <w:gridCol w:w="1400"/>
        <w:gridCol w:w="1600"/>
        <w:gridCol w:w="3660"/>
        <w:gridCol w:w="600"/>
        <w:gridCol w:w="1400"/>
      </w:tblGrid>
      <w:tr>
        <w:trPr>
          <w:tblHeader/>
        </w:trPr>
        <w:tc>
          <w:tcPr>
            <w:tcW w:type="dxa" w:w="12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功能分区</w:t>
            </w:r>
          </w:p>
        </w:tc>
        <w:tc>
          <w:tcPr>
            <w:tcW w:type="dxa" w:w="14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步骤</w:t>
            </w:r>
          </w:p>
        </w:tc>
        <w:tc>
          <w:tcPr>
            <w:tcW w:type="dxa" w:w="16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设备名称</w:t>
            </w:r>
          </w:p>
        </w:tc>
        <w:tc>
          <w:tcPr>
            <w:tcW w:type="dxa" w:w="36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参数要求</w:t>
            </w:r>
          </w:p>
        </w:tc>
        <w:tc>
          <w:tcPr>
            <w:tcW w:type="dxa" w:w="6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w:t>
            </w:r>
          </w:p>
        </w:tc>
        <w:tc>
          <w:tcPr>
            <w:tcW w:type="dxa" w:w="14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用途</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试剂准备区</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试剂配制与分装</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超净工作台</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双人位，垂直单向流；洁净度满足试剂配制要求</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试剂配制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纯水仪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出水电阻率 18.2 MΩ·cm</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实验用水制备</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样本制备区（组织）</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组织样本处理与基因组 DNA 提取</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八通道，与八排管、96 孔板配套；分档：0.5–10、5–50、30–300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台式高速离心机，配 1.5 mL 离心管转子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磁力架（1.5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1.5 mL 离心管</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Ⅱ级 A2 型；外形尺寸约 1500×815×2270 mm</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开放性生物样本操作</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 96 孔与 1.5 mL 两种模块，控温可调</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荧光法核酸与文库浓度精确定量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核酸与文库浓度测定</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样本制备区（血浆）</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血浆分离与游离 DNA（cfDNA）提取</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八通道，与八排管、96 孔板配套；分档：0.5–10、5–50、30–300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台式高速冷冻离心机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 4×方形吊篮转子（适配 5 mL／10 mL 管及 24 孔适配器）与 24×1.5／2 mL 角转子；用于血浆分离</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血浆分离</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台式高速离心机，配 1.5 mL 离心管转子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磁力架（1.5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1.5 mL 离心管</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Ⅱ级 A2 型；外形尺寸约 1500×815×2270 mm</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开放性生物样本操作</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 96 孔与 1.5 mL 两种模块，控温可调</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荧光法核酸与文库浓度精确定量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核酸与文库浓度测定</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5 mL 离心管；用于血浆游离核酸提取</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血浆游离核酸提取</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破碎区（核酸片段化）</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基因组 DNA 片段化</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超声波核酸片段化仪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聚焦超声法核酸片段化，片段长度可调；用于组织基因组 DNA 建库前片段化。应具备温控，并由投标人提出独立台位、供电与降噪的安装条件</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基因组 DNA 片段化</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文库制备区</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末端修复、接头连接与文库构建</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八通道，与八排管、96 孔板配套；分档：0.5–10、5–50、30–300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文库孵育与扩增</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磁力架（1.5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1.5 mL 离心管</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孔磁力架</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96 孔 0.2 mL 板与八排管，含辅助支架</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磁珠纯化（96 孔）</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荧光法核酸与文库浓度精确定量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核酸与文库浓度测定</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杂交捕获区</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探针杂交与磁珠捕获</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八通道，与八排管、96 孔板配套；分档：0.5–10、5–50、30–300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文库孵育与扩增</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垂直混匀仪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满足杂交孵育过程的持续混匀要求</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杂交孵育混匀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台式高速离心机，配 1.5 mL 离心管转子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纯化与分离</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磁力架（1.5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1.5 mL 离心管</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孔磁力架</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96 孔 0.2 mL 板与八排管，含辅助支架</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磁珠纯化（96 孔）</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 96 孔与 1.5 mL 两种模块，控温可调</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温控孵育与混匀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真空离心浓缩仪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用于杂交捕获后样本与文库的浓缩</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捕获后样本与文库浓缩</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荧光法核酸与文库浓度精确定量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核酸与文库浓度测定</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扩增区</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捕获后扩增与上机前质检</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 ℃ 冷藏与 −20 ℃ 冷冻双温区</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试剂与样本暂存</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流程计时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环境监测</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混匀</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瞬时离心</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µL；分档：0.1–2.0、0.5–10、2–20、10–100、20–200、100–1000 µL</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分子实验常规器具</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文库孵育与扩增</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文库片段长度分布与浓度分析</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文库片段分布分析</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磁力架（1.5 mL 离心管用）</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 孔，适配 1.5 mL 离心管</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磁珠纯化</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荧光法核酸与文库浓度精确定量</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核酸与文库浓度测定</w:t>
            </w:r>
          </w:p>
        </w:tc>
      </w:tr>
      <w:tr>
        <w:tc>
          <w:tcPr>
            <w:tcW w:type="dxa" w:w="12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测序区</w:t>
            </w:r>
          </w:p>
        </w:tc>
        <w:tc>
          <w:tcPr>
            <w:tcW w:type="dxa" w:w="1400"/>
            <w:vMerge w:val="restart"/>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上机测序与数据分析</w:t>
            </w: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抽湿机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按实验室实际环境湿度条件配置</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环境湿度控制</w:t>
            </w:r>
          </w:p>
        </w:tc>
      </w:tr>
      <w:tr>
        <w:tc>
          <w:tcPr>
            <w:tcW w:type="dxa" w:w="12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分析解读一体机</w:t>
            </w:r>
          </w:p>
        </w:tc>
        <w:tc>
          <w:tcPr>
            <w:tcW w:type="dxa" w:w="3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分析解读服务器或一体机，支持院内本地化部署，与所投试剂盒配套的生物信息分析与报告解读</w:t>
            </w:r>
          </w:p>
        </w:tc>
        <w:tc>
          <w:tcPr>
            <w:tcW w:type="dxa" w:w="6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数据分析与报告解读</w:t>
            </w:r>
          </w:p>
        </w:tc>
      </w:tr>
      <w:tr>
        <w:tc>
          <w:tcPr>
            <w:tcW w:type="dxa" w:w="1200"/>
            <w:vMerge w:val="continue"/>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p>
        </w:tc>
        <w:tc>
          <w:tcPr>
            <w:tcW w:type="dxa" w:w="1400"/>
            <w:vMerge w:val="continue"/>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p>
        </w:tc>
        <w:tc>
          <w:tcPr>
            <w:tcW w:type="dxa" w:w="16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生物信息分析服务器</w:t>
            </w:r>
          </w:p>
        </w:tc>
        <w:tc>
          <w:tcPr>
            <w:tcW w:type="dxa" w:w="36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用于本平台生物信息分析与数据存储，支持院内本地化部署</w:t>
            </w:r>
          </w:p>
        </w:tc>
        <w:tc>
          <w:tcPr>
            <w:tcW w:type="dxa" w:w="6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4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数据分析与存储</w:t>
            </w:r>
          </w:p>
        </w:tc>
      </w:tr>
    </w:tbl>
    <w:p>
      <w:pPr>
        <w:spacing w:before="400" w:line="380"/>
        <w:ind w:right="400"/>
        <w:jc w:val="right"/>
      </w:pPr>
      <w:r>
        <w:rPr>
          <w:rFonts w:ascii="Arial" w:eastAsia="黑体" w:hAnsi="Arial"/>
          <w:b/>
          <w:bCs/>
          <w:color w:val="000000"/>
          <w:sz w:val="21"/>
          <w:szCs w:val="21"/>
        </w:rPr>
        <w:t xml:space="preserve">苏州市立医院分子诊断中心</w:t>
      </w:r>
    </w:p>
    <w:p>
      <w:pPr>
        <w:spacing w:line="380"/>
        <w:ind w:right="400"/>
        <w:jc w:val="right"/>
      </w:pPr>
      <w:r>
        <w:rPr>
          <w:rFonts w:ascii="Times New Roman" w:eastAsia="宋体" w:hAnsi="Times New Roman"/>
          <w:b w:val="false"/>
          <w:bCs w:val="false"/>
          <w:color w:val="000000"/>
          <w:sz w:val="21"/>
          <w:szCs w:val="21"/>
        </w:rPr>
        <w:t xml:space="preserve">二〇二六年九月十一日</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color w:val="000000"/>
        <w:sz w:val="21"/>
        <w:szCs w:val="21"/>
      </w:rPr>
      <w:t xml:space="preserve">— </w:t>
    </w:r>
    <w:r>
      <w:rPr>
        <w:rFonts w:ascii="Times New Roman" w:eastAsia="宋体" w:hAnsi="Times New Roman"/>
        <w:sz w:val="19"/>
        <w:szCs w:val="19"/>
      </w:rPr>
      <w:fldChar w:fldCharType="begin"/>
      <w:instrText xml:space="preserve">PAGE</w:instrText>
      <w:fldChar w:fldCharType="separate"/>
      <w:fldChar w:fldCharType="end"/>
    </w:r>
    <w:r>
      <w:rPr>
        <w:rFonts w:ascii="Times New Roman" w:eastAsia="宋体" w:hAnsi="Times New Roman"/>
        <w:b w:val="false"/>
        <w:bCs w:val="false"/>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2026-09-11T11:44:12.293Z</dcterms:created>
  <dcterms:modified xsi:type="dcterms:W3CDTF">2026-09-11T11:44:12.293Z</dcterms:modified>
</cp:coreProperties>
</file>

<file path=docProps/custom.xml><?xml version="1.0" encoding="utf-8"?>
<Properties xmlns="http://schemas.openxmlformats.org/officeDocument/2006/custom-properties" xmlns:vt="http://schemas.openxmlformats.org/officeDocument/2006/docPropsVTypes"/>
</file>