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r>
        <w:rPr>
          <w:rFonts w:ascii="Times New Roman" w:eastAsia="宋体" w:hAnsi="Times New Roman"/>
          <w:b/>
          <w:bCs/>
          <w:color w:val="000000"/>
          <w:sz w:val="21"/>
          <w:szCs w:val="21"/>
        </w:rPr>
        <w:t xml:space="preserve">本项目为整体采购，上述内容应由同一投标人整体投标，不接受分包，不接受联合体投标；所投产品应为本国产品，不接受进口产品投标。</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w:t>
      </w:r>
      <w:r>
        <w:rPr>
          <w:rFonts w:ascii="Times New Roman" w:eastAsia="宋体" w:hAnsi="Times New Roman"/>
          <w:b/>
          <w:bCs/>
          <w:color w:val="000000"/>
          <w:sz w:val="21"/>
          <w:szCs w:val="21"/>
        </w:rPr>
        <w:t xml:space="preserve">试剂准备区、样本制备区（组织）、样本制备区（血浆）、破碎区（核酸片段化）、文库制备区、杂交捕获区、扩增区、测序区</w:t>
      </w:r>
      <w:r>
        <w:rPr>
          <w:rFonts w:ascii="Times New Roman" w:eastAsia="宋体" w:hAnsi="Times New Roman"/>
          <w:b w:val="false"/>
          <w:bCs w:val="false"/>
          <w:color w:val="000000"/>
          <w:sz w:val="21"/>
          <w:szCs w:val="21"/>
        </w:rPr>
        <w:t xml:space="preserve">，各区独立成间并按单向流程布置。中标人应在设备进场前完成现场勘察，就设备就位所需的台面承重、供电、给排水、温湿度与网络接入等条件提出书面要求；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所投测序仪应具备可配套使用的、已取得第三类医疗器械注册证的肿瘤检测试剂盒。投标人须</w:t>
            </w:r>
            <w:r>
              <w:rPr>
                <w:rFonts w:ascii="Times New Roman" w:eastAsia="宋体" w:hAnsi="Times New Roman"/>
                <w:b/>
                <w:bCs/>
                <w:color w:val="000000"/>
                <w:sz w:val="18"/>
                <w:szCs w:val="18"/>
              </w:rPr>
              <w:t xml:space="preserve">就附件二所列的每一癌种分别列明</w:t>
            </w:r>
            <w:r>
              <w:rPr>
                <w:rFonts w:ascii="Times New Roman" w:eastAsia="宋体" w:hAnsi="Times New Roman"/>
                <w:b w:val="false"/>
                <w:bCs w:val="false"/>
                <w:color w:val="000000"/>
                <w:sz w:val="18"/>
                <w:szCs w:val="18"/>
              </w:rPr>
              <w:t xml:space="preserve">对应试剂盒的名称与注册证编号，并提供注册证复印件；</w:t>
            </w:r>
            <w:r>
              <w:rPr>
                <w:rFonts w:ascii="Times New Roman" w:eastAsia="宋体" w:hAnsi="Times New Roman"/>
                <w:b/>
                <w:bCs/>
                <w:color w:val="000000"/>
                <w:sz w:val="18"/>
                <w:szCs w:val="18"/>
              </w:rPr>
              <w:t xml:space="preserve">试剂盒注册证载明的适用机型应包含所投机型</w:t>
            </w:r>
            <w:r>
              <w:rPr>
                <w:rFonts w:ascii="Times New Roman" w:eastAsia="宋体" w:hAnsi="Times New Roman"/>
                <w:b w:val="false"/>
                <w:bCs w:val="false"/>
                <w:color w:val="000000"/>
                <w:sz w:val="18"/>
                <w:szCs w:val="18"/>
              </w:rPr>
              <w:t xml:space="preserve">。</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建库方法学</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所投试剂盒应采用</w:t>
            </w:r>
            <w:r>
              <w:rPr>
                <w:rFonts w:ascii="Times New Roman" w:eastAsia="宋体" w:hAnsi="Times New Roman"/>
                <w:b/>
                <w:bCs/>
                <w:color w:val="000000"/>
                <w:sz w:val="18"/>
                <w:szCs w:val="18"/>
              </w:rPr>
              <w:t xml:space="preserve">杂交捕获富集法</w:t>
            </w:r>
            <w:r>
              <w:rPr>
                <w:rFonts w:ascii="Times New Roman" w:eastAsia="宋体" w:hAnsi="Times New Roman"/>
                <w:b w:val="false"/>
                <w:bCs w:val="false"/>
                <w:color w:val="000000"/>
                <w:sz w:val="18"/>
                <w:szCs w:val="18"/>
              </w:rPr>
              <w:t xml:space="preserve">建库，支持点突变、插入缺失、基因融合与拷贝数变异的同步检测。组织样本基因组 DNA 的片段化</w:t>
            </w:r>
            <w:r>
              <w:rPr>
                <w:rFonts w:ascii="Times New Roman" w:eastAsia="宋体" w:hAnsi="Times New Roman"/>
                <w:b/>
                <w:bCs/>
                <w:color w:val="000000"/>
                <w:sz w:val="18"/>
                <w:szCs w:val="18"/>
              </w:rPr>
              <w:t xml:space="preserve">采用酶法或物理超声法均可，本项目不作限定</w:t>
            </w:r>
            <w:r>
              <w:rPr>
                <w:rFonts w:ascii="Times New Roman" w:eastAsia="宋体" w:hAnsi="Times New Roman"/>
                <w:b w:val="false"/>
                <w:bCs w:val="false"/>
                <w:color w:val="000000"/>
                <w:sz w:val="18"/>
                <w:szCs w:val="18"/>
              </w:rPr>
              <w:t xml:space="preserve">；附件一已按物理超声法预留片段化设备并单独设置破碎区，投标人应按所投试剂盒的实际方法学一并供应相应设备，并提出其安装与环境条件要求。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样本类型</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应支持</w:t>
            </w:r>
            <w:r>
              <w:rPr>
                <w:rFonts w:ascii="Times New Roman" w:eastAsia="宋体" w:hAnsi="Times New Roman"/>
                <w:b/>
                <w:bCs/>
                <w:color w:val="000000"/>
                <w:sz w:val="18"/>
                <w:szCs w:val="18"/>
              </w:rPr>
              <w:t xml:space="preserve">肿瘤组织（FFPE）与外周血血浆游离 DNA（cfDNA）两类样本</w:t>
            </w:r>
            <w:r>
              <w:rPr>
                <w:rFonts w:ascii="Times New Roman" w:eastAsia="宋体" w:hAnsi="Times New Roman"/>
                <w:b w:val="false"/>
                <w:bCs w:val="false"/>
                <w:color w:val="000000"/>
                <w:sz w:val="18"/>
                <w:szCs w:val="18"/>
              </w:rPr>
              <w:t xml:space="preserve">的检测，且两类样本均具备对应的已注册检测试剂盒。</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8</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9</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所对应检测项目的收费标准为基准</w:t>
      </w:r>
      <w:r>
        <w:rPr>
          <w:rFonts w:ascii="Times New Roman" w:eastAsia="宋体" w:hAnsi="Times New Roman"/>
          <w:b w:val="false"/>
          <w:bCs w:val="false"/>
          <w:color w:val="000000"/>
          <w:sz w:val="21"/>
          <w:szCs w:val="21"/>
        </w:rPr>
        <w:t xml:space="preserve">报价，收费标准按江苏省现行医疗服务价格政策执行。</w:t>
      </w:r>
      <w:r>
        <w:rPr>
          <w:rFonts w:ascii="Times New Roman" w:eastAsia="宋体" w:hAnsi="Times New Roman"/>
          <w:b/>
          <w:bCs/>
          <w:color w:val="000000"/>
          <w:sz w:val="21"/>
          <w:szCs w:val="21"/>
        </w:rPr>
        <w:t xml:space="preserve">投标人所报试剂单价，不高于所对应检测项目收费标准的 ＿＿ ％</w:t>
      </w:r>
      <w:r>
        <w:rPr>
          <w:rFonts w:ascii="Times New Roman" w:eastAsia="宋体" w:hAnsi="Times New Roman"/>
          <w:b w:val="false"/>
          <w:bCs w:val="false"/>
          <w:color w:val="000000"/>
          <w:sz w:val="21"/>
          <w:szCs w:val="21"/>
        </w:rPr>
        <w:t xml:space="preserve">，该比例在服务期内保持不变。</w:t>
      </w:r>
      <w:r>
        <w:rPr>
          <w:rFonts w:ascii="Times New Roman" w:eastAsia="宋体" w:hAnsi="Times New Roman"/>
          <w:b/>
          <w:bCs/>
          <w:color w:val="000000"/>
          <w:sz w:val="21"/>
          <w:szCs w:val="21"/>
        </w:rPr>
        <w:t xml:space="preserve">服务期内医疗服务价格政策调整的，按调整后的收费标准与所报比例执行。</w:t>
      </w:r>
      <w:r>
        <w:rPr>
          <w:rFonts w:ascii="Times New Roman" w:eastAsia="宋体" w:hAnsi="Times New Roman"/>
          <w:b w:val="false"/>
          <w:bCs w:val="false"/>
          <w:color w:val="000000"/>
          <w:sz w:val="21"/>
          <w:szCs w:val="21"/>
        </w:rPr>
        <w:t xml:space="preserve">所投试剂纳入国家或省级集中带量采购范围的，按中选结果执行。</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：所投试剂盒须通过院方组织的方法学性能验证方可用于临床检测，验证结论由院方确认；未通过验证的产品应予更换。</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：中标人应保证试剂在服务期内的持续稳定供应，并按院方需求提供冷链配送。</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；并提供检测项目的临床沟通与疑难病例报告解读支持。</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人员配置</w:t>
      </w: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质量与售后</w:t>
      </w:r>
      <w:r>
        <w:rPr>
          <w:rFonts w:ascii="Times New Roman" w:eastAsia="宋体" w:hAnsi="Times New Roman"/>
          <w:b w:val="false"/>
          <w:bCs w:val="false"/>
          <w:color w:val="000000"/>
          <w:sz w:val="21"/>
          <w:szCs w:val="21"/>
        </w:rPr>
        <w:t xml:space="preserve">。配合院方建立本平台检测项目的标准操作规程及相关质量管理体系文件，配合完成方法学性能验证与室间质评；提供设备的日常维护、故障响应与备件供应。</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交付与验收</w:t>
      </w:r>
      <w:r>
        <w:rPr>
          <w:rFonts w:ascii="Times New Roman" w:eastAsia="宋体" w:hAnsi="Times New Roman"/>
          <w:b w:val="false"/>
          <w:bCs w:val="false"/>
          <w:color w:val="000000"/>
          <w:sz w:val="21"/>
          <w:szCs w:val="21"/>
        </w:rPr>
        <w:t xml:space="preserve">。设备到货、安装调试完成后由院方组织验收，验收内容包括设备功能与技术参数复核，以及拟开展项目的方法学性能验证。交付与安装期限由双方在合同中约定。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付款</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设备款于最终验收合格后一次性支付；试剂款按实际供货结算</w:t>
      </w:r>
      <w:r>
        <w:rPr>
          <w:rFonts w:ascii="Times New Roman" w:eastAsia="宋体" w:hAnsi="Times New Roman"/>
          <w:b w:val="false"/>
          <w:bCs w:val="false"/>
          <w:color w:val="000000"/>
          <w:sz w:val="21"/>
          <w:szCs w:val="21"/>
        </w:rPr>
        <w:t xml:space="preserve">，结算账期由双方在合同中约定。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。中标人应提供设备质保，质保期限、故障响应与到场时限由双方在合同中约定；质保期满后的维保价格，投标人应在投标文件中一并报出。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。服务期内因院方场地调整需要移机的，投标人须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，作为可选报价项单独列示，由院方按实际需要决定是否实施；移机不影响原质保期的连续计算。</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数据安全</w:t>
      </w:r>
      <w:r>
        <w:rPr>
          <w:rFonts w:ascii="Times New Roman" w:eastAsia="宋体" w:hAnsi="Times New Roman"/>
          <w:b w:val="false"/>
          <w:bCs w:val="false"/>
          <w:color w:val="000000"/>
          <w:sz w:val="21"/>
          <w:szCs w:val="21"/>
        </w:rPr>
        <w:t xml:space="preserve">。本平台产生的检测数据归院方所有。分析解读软硬件应支持院内本地化部署，</w:t>
      </w:r>
      <w:r>
        <w:rPr>
          <w:rFonts w:ascii="Times New Roman" w:eastAsia="宋体" w:hAnsi="Times New Roman"/>
          <w:b/>
          <w:bCs/>
          <w:color w:val="000000"/>
          <w:sz w:val="21"/>
          <w:szCs w:val="21"/>
        </w:rPr>
        <w:t xml:space="preserve">检测数据应存储于院内，不得上传至院外，不得出境</w:t>
      </w:r>
      <w:r>
        <w:rPr>
          <w:rFonts w:ascii="Times New Roman" w:eastAsia="宋体" w:hAnsi="Times New Roman"/>
          <w:b w:val="false"/>
          <w:bCs w:val="false"/>
          <w:color w:val="000000"/>
          <w:sz w:val="21"/>
          <w:szCs w:val="21"/>
        </w:rPr>
        <w:t xml:space="preserve">；涉及人类遗传资源的活动，应符合《中华人民共和国人类遗传资源管理条例》及其实施细则的规定。</w:t>
      </w:r>
    </w:p>
    <w:p>
      <w:pPr>
        <w:spacing w:after="120" w:before="160" w:line="320"/>
        <w:ind w:firstLine="420"/>
        <w:jc w:val="both"/>
      </w:pPr>
      <w:r>
        <w:rPr>
          <w:rFonts w:ascii="Times New Roman" w:eastAsia="宋体" w:hAnsi="Times New Roman"/>
          <w:b w:val="false"/>
          <w:bCs w:val="false"/>
          <w:color w:val="000000"/>
          <w:sz w:val="19"/>
          <w:szCs w:val="19"/>
        </w:rPr>
        <w:t xml:space="preserve">本文件为</w:t>
      </w:r>
      <w:r>
        <w:rPr>
          <w:rFonts w:ascii="Times New Roman" w:eastAsia="宋体" w:hAnsi="Times New Roman"/>
          <w:b/>
          <w:bCs/>
          <w:color w:val="000000"/>
          <w:sz w:val="19"/>
          <w:szCs w:val="19"/>
        </w:rPr>
        <w:t xml:space="preserve">采购需求</w:t>
      </w:r>
      <w:r>
        <w:rPr>
          <w:rFonts w:ascii="Times New Roman" w:eastAsia="宋体" w:hAnsi="Times New Roman"/>
          <w:b w:val="false"/>
          <w:bCs w:val="false"/>
          <w:color w:val="000000"/>
          <w:sz w:val="19"/>
          <w:szCs w:val="19"/>
        </w:rPr>
        <w:t xml:space="preserve">，仅描述本项目的技术与商务需求。投标人资格条件、评审办法、合同条款及其他未尽事宜，以招标文件相应章节及采购合同约定为准。</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75 项、118 台（件），</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双人位，垂直单向流；洁净度满足试剂配制要求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出水电阻率 18.2 MΩ·cm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 ℃ 冷藏与 −20 ℃ 冷冻双温区</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µL；分档：0.1–2.0、0.5–10、2–20、10–100、20–200、100–1000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样本制备区（组织）</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 ℃ 冷藏与 −20 ℃ 冷冻双温区</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µL；分档：0.1–2.0、0.5–10、2–20、10–100、20–200、100–1000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八通道，与八排管、96 孔板配套；分档：0.5–10、5–50、30–300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台式高速离心机，配 1.5 mL 离心管转子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磁力架（1.5 mL 离心管用）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 孔，适配 1.5 mL 离心管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Ⅱ级 A2 型；外形尺寸约 1500×815×2270 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 96 孔与 1.5 mL 两种模块，控温可调</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荧光法核酸与文库浓度精确定量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样本制备区（血浆）</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 ℃ 冷藏与 −20 ℃ 冷冻双温区</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µL；分档：0.1–2.0、0.5–10、2–20、10–100、20–200、100–1000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八通道，与八排管、96 孔板配套；分档：0.5–10、5–50、30–300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台式高速冷冻离心机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 4×方形吊篮转子（适配 5 mL／10 mL 管及 24 孔适配器）与 24×1.5／2 mL 角转子；用于血浆分离</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台式高速离心机，配 1.5 mL 离心管转子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磁力架（1.5 mL 离心管用）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 孔，适配 1.5 mL 离心管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Ⅱ级 A2 型；外形尺寸约 1500×815×2270 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 96 孔与 1.5 mL 两种模块，控温可调</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荧光法核酸与文库浓度精确定量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磁力架（5 mL 离心管用）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 孔，适配 5 mL 离心管；用于血浆游离核酸提取</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破碎区（核酸片段化）</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超声波核酸片段化仪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聚焦超声法核酸片段化，片段长度可调；用于组织基因组 DNA 建库前片段化。应具备温控，并由投标人提出独立台位、供电与降噪的安装条件</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 ℃ 冷藏与 −20 ℃ 冷冻双温区</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µL；分档：0.1–2.0、0.5–10、2–20、10–100、20–200、100–1000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八通道，与八排管、96 孔板配套；分档：0.5–10、5–50、30–300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磁力架（1.5 mL 离心管用）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 孔，适配 1.5 mL 离心管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96 孔 0.2 mL 板与八排管，含辅助支架</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荧光法核酸与文库浓度精确定量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 ℃ 冷藏与 −20 ℃ 冷冻双温区</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µL；分档：0.1–2.0、0.5–10、2–20、10–100、20–200、100–1000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八通道，与八排管、96 孔板配套；分档：0.5–10、5–50、30–300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满足杂交孵育过程的持续混匀要求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台式高速离心机，配 1.5 mL 离心管转子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磁力架（1.5 mL 离心管用）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 孔，适配 1.5 mL 离心管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96 孔 0.2 mL 板与八排管，含辅助支架</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 96 孔与 1.5 mL 两种模块，控温可调</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真空离心浓缩仪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用于杂交捕获后样本与文库的浓缩</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荧光法核酸与文库浓度精确定量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扩增区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 ℃ 冷藏与 −20 ℃ 冷冻双温区</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µL；分档：0.1–2.0、0.5–10、2–20、10–100、20–200、100–1000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文库片段长度分布与浓度分析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磁力架（1.5 mL 离心管用）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 孔，适配 1.5 mL 离心管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荧光法核酸与文库浓度精确定量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按实验室实际环境湿度条件配置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生物信息分析服务器</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用于本平台生物信息分析与数据存储，支持院内本地化部署</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；投标人应在投标文件中列明所投产品的完整检测范围。检测项目的收费按江苏省现行医疗服务价格政策执行，现行适用收费编码 012100000200000「高通量测序法检测费（病理样本）」，按项目分为 4,500 元、7,000 元、9,900 元等档次；</w:t>
      </w:r>
      <w:r>
        <w:rPr>
          <w:rFonts w:ascii="Times New Roman" w:eastAsia="宋体" w:hAnsi="Times New Roman"/>
          <w:b/>
          <w:bCs/>
          <w:color w:val="000000"/>
          <w:sz w:val="19"/>
          <w:szCs w:val="19"/>
        </w:rPr>
        <w:t xml:space="preserve">具体产品适用的档次与最终开展范围，以院方完成新增项目论证与物价备案后的结果为准。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二〇二六年九月十一日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2026-09-11T11:44:12.006Z</dcterms:created>
  <dcterms:modified xsi:type="dcterms:W3CDTF">2026-09-11T11:44:12.016Z</dcterms:modified>
</cp:coreProperties>
</file>

<file path=docProps/custom.xml><?xml version="1.0" encoding="utf-8"?>
<Properties xmlns="http://schemas.openxmlformats.org/officeDocument/2006/custom-properties" xmlns:vt="http://schemas.openxmlformats.org/officeDocument/2006/docPropsVTypes"/>
</file>