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且试剂盒注册证载明的适用机型包含所投机型，注册适用范围覆盖附件二所列全部癌种。投标人须逐项提供试剂盒名称与注册证编号。</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应满足肿瘤组织样本与血浆样本的中大 panel 检测需求，支持杂交捕获建库流程；单次运行可同时检测的样本数不少于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价格有效期</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：所报折扣率在服务期内保持不变。基准价发生调整的，按调整后的基准价与所报折扣率执行；国家或省级药品耗材价格政策另有规定的，从其规定。</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：中标后，所投试剂盒须通过院方组织的方法学性能验证（精密度、正确度、检出限、可报告范围等），</w:t>
      </w:r>
      <w:r>
        <w:rPr>
          <w:rFonts w:ascii="Times New Roman" w:eastAsia="宋体" w:hAnsi="Times New Roman"/>
          <w:b/>
          <w:bCs/>
          <w:color w:val="000000"/>
          <w:sz w:val="21"/>
          <w:szCs w:val="21"/>
        </w:rPr>
        <w:t xml:space="preserve">验证结论由院方确认；未通过验证的产品不得用于临床检测，中标人应予更换，由此产生的费用与延误责任由中标人承担</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：中标人应保证试剂在服务期内的持续稳定供应，建立安全库存，并按院方需求提供冷链配送。因供应中断导致检测延误的，按合同约定承担违约责任。</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技术培训与技术转移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直至院方人员具备独立操作与独立出具报告的能力</w:t>
      </w:r>
      <w:r>
        <w:rPr>
          <w:rFonts w:ascii="Times New Roman" w:eastAsia="宋体" w:hAnsi="Times New Roman"/>
          <w:b w:val="false"/>
          <w:bCs w:val="false"/>
          <w:color w:val="000000"/>
          <w:sz w:val="21"/>
          <w:szCs w:val="21"/>
        </w:rPr>
        <w:t xml:space="preserve">。培训应形成书面记录与考核结论。</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质量管理体系与性能验证配合</w:t>
      </w:r>
      <w:r>
        <w:rPr>
          <w:rFonts w:ascii="Times New Roman" w:eastAsia="宋体" w:hAnsi="Times New Roman"/>
          <w:b w:val="false"/>
          <w:bCs w:val="false"/>
          <w:color w:val="000000"/>
          <w:sz w:val="21"/>
          <w:szCs w:val="21"/>
        </w:rPr>
        <w:t xml:space="preserve">。协助建立本平台检测项目的标准操作规程及相关质量管理体系文件；配合完成方法学性能验证；协助院方参加室间质评并上报结果；配合院方通过临床基因扩增检验实验室技术审核。</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临床沟通与报告解读支持</w:t>
      </w:r>
      <w:r>
        <w:rPr>
          <w:rFonts w:ascii="Times New Roman" w:eastAsia="宋体" w:hAnsi="Times New Roman"/>
          <w:b w:val="false"/>
          <w:bCs w:val="false"/>
          <w:color w:val="000000"/>
          <w:sz w:val="21"/>
          <w:szCs w:val="21"/>
        </w:rPr>
        <w:t xml:space="preserve">。提供检测项目的临床沟通与疑难病例报告解读的技术支持。</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人员要求</w:t>
      </w:r>
      <w:r>
        <w:rPr>
          <w:rFonts w:ascii="Times New Roman" w:eastAsia="宋体" w:hAnsi="Times New Roman"/>
          <w:b w:val="false"/>
          <w:bCs w:val="false"/>
          <w:color w:val="000000"/>
          <w:sz w:val="21"/>
          <w:szCs w:val="21"/>
        </w:rPr>
        <w:t xml:space="preserve">。中标人应指定项目负责人一名，并配备具备分子诊断与 NGS 技术背景的技术支持人员。</w:t>
      </w:r>
      <w:r>
        <w:rPr>
          <w:rFonts w:ascii="Times New Roman" w:eastAsia="宋体" w:hAnsi="Times New Roman"/>
          <w:b/>
          <w:bCs/>
          <w:color w:val="000000"/>
          <w:sz w:val="21"/>
          <w:szCs w:val="21"/>
        </w:rPr>
        <w:t xml:space="preserve">技术支持人员的工作范围限于设备调试、技术培训、性能验证配合与故障处理；临床检验的实际操作与检验报告的出具，由院方具备相应资质的人员承担。</w:t>
      </w:r>
      <w:r>
        <w:rPr>
          <w:rFonts w:ascii="Times New Roman" w:eastAsia="宋体" w:hAnsi="Times New Roman"/>
          <w:b w:val="false"/>
          <w:bCs w:val="false"/>
          <w:color w:val="000000"/>
          <w:sz w:val="21"/>
          <w:szCs w:val="21"/>
        </w:rPr>
        <w:t xml:space="preserve">中标人人员进入实验室应遵守院方生物安全、感染控制、信息安全与廉洁从业的相关规定，并签署保密承诺。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售后与应急</w:t>
      </w:r>
      <w:r>
        <w:rPr>
          <w:rFonts w:ascii="Times New Roman" w:eastAsia="宋体" w:hAnsi="Times New Roman"/>
          <w:b w:val="false"/>
          <w:bCs w:val="false"/>
          <w:color w:val="000000"/>
          <w:sz w:val="21"/>
          <w:szCs w:val="21"/>
        </w:rPr>
        <w:t xml:space="preserve">。质保期内故障响应不超过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小时，到场时间不超过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小时；核心设备无法在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内修复的，应提供同等性能备机，或协助将标本委托至具备临床基因扩增检验实验室资质及相应检测项目能力的第三方医学检验机构检测，委托检验须另行签订协议并报院方备案。试剂或耗材供应发生中断风险的，应提前告知并提出替代方案。</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交货与安装期限</w:t>
      </w:r>
      <w:r>
        <w:rPr>
          <w:rFonts w:ascii="Times New Roman" w:eastAsia="宋体" w:hAnsi="Times New Roman"/>
          <w:b w:val="false"/>
          <w:bCs w:val="false"/>
          <w:color w:val="000000"/>
          <w:sz w:val="21"/>
          <w:szCs w:val="21"/>
        </w:rPr>
        <w:t xml:space="preserve">。合同签订后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日历天内完成设备到货、安装与调试，并具备验收条件。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验收标准</w:t>
      </w:r>
      <w:r>
        <w:rPr>
          <w:rFonts w:ascii="Times New Roman" w:eastAsia="宋体" w:hAnsi="Times New Roman"/>
          <w:b w:val="false"/>
          <w:bCs w:val="false"/>
          <w:color w:val="000000"/>
          <w:sz w:val="21"/>
          <w:szCs w:val="21"/>
        </w:rPr>
        <w:t xml:space="preserve">。验收分三个环节：到货验收（数量、型号、外观、随机文件）；安装调试验收（功能与技术参数复核）；平台运行验收（完成拟开展项目的方法学性能验证）。三个环节全部合格后签署最终验收报告。</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付款节点</w:t>
      </w:r>
      <w:r>
        <w:rPr>
          <w:rFonts w:ascii="Times New Roman" w:eastAsia="宋体" w:hAnsi="Times New Roman"/>
          <w:b w:val="false"/>
          <w:bCs w:val="false"/>
          <w:color w:val="000000"/>
          <w:sz w:val="21"/>
          <w:szCs w:val="21"/>
        </w:rPr>
        <w:t xml:space="preserve">。设备款：合同生效后支付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％，到货并安装调试合格后支付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％，最终验收合格后支付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％，余款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 作为质量保证金，质保期满无质量问题后支付。试剂款：按实际供货量结算，结算周期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天。</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。自最终验收合格之日起提供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年免费质保，质保期内免费提供软件升级。质保期满后的维保价格，投标人应在投标文件中一并报出并作为评审因素。</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。服务期内因院方场地调整需要将设备整体或部分移位的，投标人须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，内容包括设备拆卸、包装、运输、复位、重新安装调试，以及配合完成移机后的方法学性能验证。该项报价作为可选报价项单独列示，不计入设备与试剂的评标价，中标后由院方按实际需要决定是否实施。</w:t>
      </w:r>
      <w:r>
        <w:rPr>
          <w:rFonts w:ascii="Times New Roman" w:eastAsia="宋体" w:hAnsi="Times New Roman"/>
          <w:b/>
          <w:bCs/>
          <w:color w:val="000000"/>
          <w:sz w:val="21"/>
          <w:szCs w:val="21"/>
        </w:rPr>
        <w:t xml:space="preserve">移机不影响原质保期的连续计算</w:t>
      </w:r>
      <w:r>
        <w:rPr>
          <w:rFonts w:ascii="Times New Roman" w:eastAsia="宋体" w:hAnsi="Times New Roman"/>
          <w:b w:val="false"/>
          <w:bCs w:val="false"/>
          <w:color w:val="000000"/>
          <w:sz w:val="21"/>
          <w:szCs w:val="21"/>
        </w:rPr>
        <w:t xml:space="preserve">，因移机导致的设备损坏或性能偏差由中标人负责修复。</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r>
        <w:rPr>
          <w:rFonts w:ascii="Times New Roman" w:eastAsia="宋体" w:hAnsi="Times New Roman"/>
          <w:b w:val="false"/>
          <w:bCs w:val="false"/>
          <w:color w:val="000000"/>
          <w:sz w:val="21"/>
          <w:szCs w:val="21"/>
        </w:rPr>
        <w:t xml:space="preserve">，中标人不得设置任何形式的使用限制。</w:t>
      </w:r>
    </w:p>
    <w:p>
      <w:pPr>
        <w:spacing w:after="100" w:line="380"/>
        <w:ind w:left="0" w:firstLine="420"/>
        <w:jc w:val="both"/>
      </w:pPr>
      <w:r>
        <w:rPr>
          <w:rFonts w:ascii="Times New Roman" w:eastAsia="宋体" w:hAnsi="Times New Roman"/>
          <w:b w:val="false"/>
          <w:bCs w:val="false"/>
          <w:color w:val="000000"/>
          <w:sz w:val="21"/>
          <w:szCs w:val="21"/>
        </w:rPr>
        <w:t xml:space="preserve">（七）</w:t>
      </w:r>
      <w:r>
        <w:rPr>
          <w:rFonts w:ascii="Times New Roman" w:eastAsia="宋体" w:hAnsi="Times New Roman"/>
          <w:b/>
          <w:bCs/>
          <w:color w:val="000000"/>
          <w:sz w:val="21"/>
          <w:szCs w:val="21"/>
        </w:rPr>
        <w:t xml:space="preserve">数据权属与信息安全</w:t>
      </w:r>
      <w:r>
        <w:rPr>
          <w:rFonts w:ascii="Times New Roman" w:eastAsia="宋体" w:hAnsi="Times New Roman"/>
          <w:b w:val="false"/>
          <w:bCs w:val="false"/>
          <w:color w:val="000000"/>
          <w:sz w:val="21"/>
          <w:szCs w:val="21"/>
        </w:rPr>
        <w:t xml:space="preserve">。本平台产生的全部检测数据、原始下机数据及衍生数据，</w:t>
      </w:r>
      <w:r>
        <w:rPr>
          <w:rFonts w:ascii="Times New Roman" w:eastAsia="宋体" w:hAnsi="Times New Roman"/>
          <w:b/>
          <w:bCs/>
          <w:color w:val="000000"/>
          <w:sz w:val="21"/>
          <w:szCs w:val="21"/>
        </w:rPr>
        <w:t xml:space="preserve">所有权归院方所有</w:t>
      </w:r>
      <w:r>
        <w:rPr>
          <w:rFonts w:ascii="Times New Roman" w:eastAsia="宋体" w:hAnsi="Times New Roman"/>
          <w:b w:val="false"/>
          <w:bCs w:val="false"/>
          <w:color w:val="000000"/>
          <w:sz w:val="21"/>
          <w:szCs w:val="21"/>
        </w:rPr>
        <w:t xml:space="preserve">。分析解读软硬件应支持院内本地化部署，不得要求将原始数据上传至院外。中标人及其人员因技术支持接触院方数据的，限于履行本合同之目的，不得留存、复制、对外提供或用于自身研发；涉及人类遗传资源的，应遵守《人类遗传资源管理条例》及其实施细则的规定。合同终止或人员撤场时，应完成数据交接与本地留存的清除并出具书面确认。</w:t>
      </w:r>
    </w:p>
    <w:p>
      <w:pPr>
        <w:spacing w:after="100" w:line="380"/>
        <w:ind w:left="0" w:firstLine="420"/>
        <w:jc w:val="both"/>
      </w:pPr>
      <w:r>
        <w:rPr>
          <w:rFonts w:ascii="Times New Roman" w:eastAsia="宋体" w:hAnsi="Times New Roman"/>
          <w:b w:val="false"/>
          <w:bCs w:val="false"/>
          <w:color w:val="000000"/>
          <w:sz w:val="21"/>
          <w:szCs w:val="21"/>
        </w:rPr>
        <w:t xml:space="preserve">（八）</w:t>
      </w:r>
      <w:r>
        <w:rPr>
          <w:rFonts w:ascii="Times New Roman" w:eastAsia="宋体" w:hAnsi="Times New Roman"/>
          <w:b/>
          <w:bCs/>
          <w:color w:val="000000"/>
          <w:sz w:val="21"/>
          <w:szCs w:val="21"/>
        </w:rPr>
        <w:t xml:space="preserve">违约与退出</w:t>
      </w:r>
      <w:r>
        <w:rPr>
          <w:rFonts w:ascii="Times New Roman" w:eastAsia="宋体" w:hAnsi="Times New Roman"/>
          <w:b w:val="false"/>
          <w:bCs w:val="false"/>
          <w:color w:val="000000"/>
          <w:sz w:val="21"/>
          <w:szCs w:val="21"/>
        </w:rPr>
        <w:t xml:space="preserve">。合同应约定交付逾期、验收不合格、响应超时、供应中断的违约责任；服务期满或提前终止时，中标人应完成设备资料、系统账号、方法文件与在院数据的完整交接，不得影响检测工作的连续性。</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近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年内具有同类临床基因测序平台的供货与服务业绩，并能提供合同或验收证明；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具备本地化服务能力，能够满足本文件约定的故障响应与到场时限；</w:t>
      </w:r>
    </w:p>
    <w:p>
      <w:pPr>
        <w:spacing w:after="100" w:line="380"/>
        <w:ind w:left="420" w:firstLine="420"/>
        <w:jc w:val="both"/>
      </w:pPr>
      <w:r>
        <w:rPr>
          <w:rFonts w:ascii="Times New Roman" w:eastAsia="宋体" w:hAnsi="Times New Roman"/>
          <w:b w:val="false"/>
          <w:bCs w:val="false"/>
          <w:color w:val="000000"/>
          <w:sz w:val="21"/>
          <w:szCs w:val="21"/>
        </w:rPr>
        <w:t xml:space="preserve">6. 未被列入失信被执行人、政府采购严重违法失信行为记录名单及医药购销领域商业贿赂不良记录。</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廉洁与合规承诺</w:t>
      </w:r>
      <w:r>
        <w:rPr>
          <w:rFonts w:ascii="Times New Roman" w:eastAsia="宋体" w:hAnsi="Times New Roman"/>
          <w:b w:val="false"/>
          <w:bCs w:val="false"/>
          <w:color w:val="000000"/>
          <w:sz w:val="21"/>
          <w:szCs w:val="21"/>
        </w:rPr>
        <w:t xml:space="preserve">。投标人应出具书面承诺：不以捐赠资助、科研合作、学术会议、外出考察、承担人员费用等任何名义，向院方或院方工作人员输送利益或提供与本项目采购相挂钩的资源；不通过第三方实施上述行为。经查实的，院方有权解除合同并追究责任。</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主要检测内容</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EGFR、ALK、ROS1、KRAS、BRAF、HER2、MET、RET、NTRK 等驱动基因的点突变、插入缺失、基因融合与拷贝数变异；靶向及免疫治疗相关标志物。</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KRAS、NRAS、BRAF、PIK3CA 等基因突变；微卫星不稳定（MSI）／错配修复相关检测。</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HER2、PIK3CA、BRCA1／BRCA2 等基因的点突变、插入缺失与拷贝数变异。</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2026-09-09T12:40:02.009Z</dcterms:created>
  <dcterms:modified xsi:type="dcterms:W3CDTF">2026-09-09T12:40:02.009Z</dcterms:modified>
</cp:coreProperties>
</file>

<file path=docProps/custom.xml><?xml version="1.0" encoding="utf-8"?>
<Properties xmlns="http://schemas.openxmlformats.org/officeDocument/2006/custom-properties" xmlns:vt="http://schemas.openxmlformats.org/officeDocument/2006/docPropsVTypes"/>
</file>