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Arial" w:eastAsia="黑体" w:hAnsi="Arial"/>
          <w:b w:val="false"/>
          <w:bCs w:val="false"/>
          <w:color w:val="000000"/>
          <w:spacing w:val="60"/>
          <w:sz w:val="24"/>
          <w:szCs w:val="24"/>
        </w:rPr>
        <w:t xml:space="preserve">苏州市立医院分子诊断中心</w:t>
      </w:r>
    </w:p>
    <w:p>
      <w:pPr>
        <w:spacing w:after="100" w:line="440"/>
        <w:jc w:val="center"/>
      </w:pPr>
      <w:r>
        <w:rPr>
          <w:rFonts w:ascii="Times New Roman" w:eastAsia="宋体" w:hAnsi="Times New Roman"/>
          <w:b/>
          <w:bCs/>
          <w:color w:val="000000"/>
          <w:spacing w:val="20"/>
          <w:sz w:val="44"/>
          <w:szCs w:val="44"/>
        </w:rPr>
        <w:t xml:space="preserve">肿瘤 NGS 平台招标需求</w:t>
      </w:r>
    </w:p>
    <w:p>
      <w:pPr>
        <w:pBdr>
          <w:bottom w:val="double" w:color="000000" w:sz="6" w:space="10"/>
        </w:pBdr>
        <w:spacing w:after="260"/>
        <w:jc w:val="center"/>
      </w:pPr>
      <w:r>
        <w:rPr>
          <w:rFonts w:ascii="Times New Roman" w:eastAsia="宋体" w:hAnsi="Times New Roman"/>
          <w:b w:val="false"/>
          <w:bCs w:val="false"/>
          <w:color w:val="444444"/>
          <w:sz w:val="21"/>
          <w:szCs w:val="21"/>
        </w:rPr>
        <w:t xml:space="preserve">建设地点：太湖新城总院区</w:t>
      </w:r>
    </w:p>
    <w:p>
      <w:pPr>
        <w:keepNext/>
        <w:spacing w:after="140" w:before="320" w:line="380"/>
      </w:pPr>
      <w:r>
        <w:rPr>
          <w:rFonts w:ascii="Arial" w:eastAsia="黑体" w:hAnsi="Arial"/>
          <w:b/>
          <w:bCs/>
          <w:color w:val="000000"/>
          <w:sz w:val="25"/>
          <w:szCs w:val="25"/>
        </w:rPr>
        <w:t xml:space="preserve">一、项目概况</w:t>
      </w:r>
    </w:p>
    <w:p>
      <w:pPr>
        <w:spacing w:after="100" w:line="380"/>
        <w:ind w:left="0" w:firstLine="420"/>
        <w:jc w:val="both"/>
      </w:pPr>
      <w:r>
        <w:rPr>
          <w:rFonts w:ascii="Times New Roman" w:eastAsia="宋体" w:hAnsi="Times New Roman"/>
          <w:b w:val="false"/>
          <w:bCs w:val="false"/>
          <w:color w:val="000000"/>
          <w:sz w:val="21"/>
          <w:szCs w:val="21"/>
        </w:rPr>
        <w:t xml:space="preserve">（一）</w:t>
      </w:r>
      <w:r>
        <w:rPr>
          <w:rFonts w:ascii="Times New Roman" w:eastAsia="宋体" w:hAnsi="Times New Roman"/>
          <w:b/>
          <w:bCs/>
          <w:color w:val="000000"/>
          <w:sz w:val="21"/>
          <w:szCs w:val="21"/>
        </w:rPr>
        <w:t xml:space="preserve">项目名称</w:t>
      </w:r>
      <w:r>
        <w:rPr>
          <w:rFonts w:ascii="Times New Roman" w:eastAsia="宋体" w:hAnsi="Times New Roman"/>
          <w:b w:val="false"/>
          <w:bCs w:val="false"/>
          <w:color w:val="000000"/>
          <w:sz w:val="21"/>
          <w:szCs w:val="21"/>
        </w:rPr>
        <w:t xml:space="preserve">：苏州市立医院分子诊断中心肿瘤 NGS 平台采购。</w:t>
      </w:r>
    </w:p>
    <w:p>
      <w:pPr>
        <w:spacing w:after="100" w:line="380"/>
        <w:ind w:left="0" w:firstLine="420"/>
        <w:jc w:val="both"/>
      </w:pPr>
      <w:r>
        <w:rPr>
          <w:rFonts w:ascii="Times New Roman" w:eastAsia="宋体" w:hAnsi="Times New Roman"/>
          <w:b w:val="false"/>
          <w:bCs w:val="false"/>
          <w:color w:val="000000"/>
          <w:sz w:val="21"/>
          <w:szCs w:val="21"/>
        </w:rPr>
        <w:t xml:space="preserve">（二）</w:t>
      </w:r>
      <w:r>
        <w:rPr>
          <w:rFonts w:ascii="Times New Roman" w:eastAsia="宋体" w:hAnsi="Times New Roman"/>
          <w:b/>
          <w:bCs/>
          <w:color w:val="000000"/>
          <w:sz w:val="21"/>
          <w:szCs w:val="21"/>
        </w:rPr>
        <w:t xml:space="preserve">采购范围</w:t>
      </w:r>
      <w:r>
        <w:rPr>
          <w:rFonts w:ascii="Times New Roman" w:eastAsia="宋体" w:hAnsi="Times New Roman"/>
          <w:b w:val="false"/>
          <w:bCs w:val="false"/>
          <w:color w:val="000000"/>
          <w:sz w:val="21"/>
          <w:szCs w:val="21"/>
        </w:rPr>
        <w:t xml:space="preserve">：基因测序仪 1 台、配套设备与器具（详见附件一）、拟开展检测项目所需的检测试剂（详见附件二），以及相应的安装调试、培训、性能验证配合与售后服务。</w:t>
      </w:r>
      <w:r>
        <w:rPr>
          <w:rFonts w:ascii="Times New Roman" w:eastAsia="宋体" w:hAnsi="Times New Roman"/>
          <w:b/>
          <w:bCs/>
          <w:color w:val="000000"/>
          <w:sz w:val="21"/>
          <w:szCs w:val="21"/>
        </w:rPr>
        <w:t xml:space="preserve">本项目为整体采购，上述内容应由同一投标人整体投标，不接受分包，不接受联合体投标；所投产品应为本国产品，不接受进口产品投标。</w:t>
      </w:r>
    </w:p>
    <w:p>
      <w:pPr>
        <w:spacing w:after="100" w:line="380"/>
        <w:ind w:left="0" w:firstLine="420"/>
        <w:jc w:val="both"/>
      </w:pPr>
      <w:r>
        <w:rPr>
          <w:rFonts w:ascii="Times New Roman" w:eastAsia="宋体" w:hAnsi="Times New Roman"/>
          <w:b w:val="false"/>
          <w:bCs w:val="false"/>
          <w:color w:val="000000"/>
          <w:sz w:val="21"/>
          <w:szCs w:val="21"/>
        </w:rPr>
        <w:t xml:space="preserve">（三）</w:t>
      </w:r>
      <w:r>
        <w:rPr>
          <w:rFonts w:ascii="Times New Roman" w:eastAsia="宋体" w:hAnsi="Times New Roman"/>
          <w:b/>
          <w:bCs/>
          <w:color w:val="000000"/>
          <w:sz w:val="21"/>
          <w:szCs w:val="21"/>
        </w:rPr>
        <w:t xml:space="preserve">场地条件</w:t>
      </w:r>
      <w:r>
        <w:rPr>
          <w:rFonts w:ascii="Times New Roman" w:eastAsia="宋体" w:hAnsi="Times New Roman"/>
          <w:b w:val="false"/>
          <w:bCs w:val="false"/>
          <w:color w:val="000000"/>
          <w:sz w:val="21"/>
          <w:szCs w:val="21"/>
        </w:rPr>
        <w:t xml:space="preserve">：本项目实验室已建成并具备功能分区，功能分区自上游至下游依次为试剂准备区、标本与文库制备区、血浆文库制备区、杂交捕获区、文库扩增与检测区、测序区。中标人应在设备进场前完成现场勘察，就设备就位所需的台面承重、供电、给排水、温湿度与网络接入等条件提出书面要求；</w:t>
      </w:r>
      <w:r>
        <w:rPr>
          <w:rFonts w:ascii="Times New Roman" w:eastAsia="宋体" w:hAnsi="Times New Roman"/>
          <w:b/>
          <w:bCs/>
          <w:color w:val="000000"/>
          <w:sz w:val="21"/>
          <w:szCs w:val="21"/>
        </w:rPr>
        <w:t xml:space="preserve">因设备就位需对既有实验台面及配套设施进行局部适配调整的，由中标人负责实施，费用计入投标报价</w:t>
      </w:r>
      <w:r>
        <w:rPr>
          <w:rFonts w:ascii="Times New Roman" w:eastAsia="宋体" w:hAnsi="Times New Roman"/>
          <w:b w:val="false"/>
          <w:bCs w:val="false"/>
          <w:color w:val="000000"/>
          <w:sz w:val="21"/>
          <w:szCs w:val="21"/>
        </w:rPr>
        <w:t xml:space="preserve">。</w:t>
      </w:r>
    </w:p>
    <w:p>
      <w:pPr>
        <w:spacing w:after="100" w:line="380"/>
        <w:ind w:left="0" w:firstLine="420"/>
        <w:jc w:val="both"/>
      </w:pPr>
      <w:r>
        <w:rPr>
          <w:rFonts w:ascii="Times New Roman" w:eastAsia="宋体" w:hAnsi="Times New Roman"/>
          <w:b w:val="false"/>
          <w:bCs w:val="false"/>
          <w:color w:val="000000"/>
          <w:sz w:val="21"/>
          <w:szCs w:val="21"/>
        </w:rPr>
        <w:t xml:space="preserve">（四）</w:t>
      </w:r>
      <w:r>
        <w:rPr>
          <w:rFonts w:ascii="Times New Roman" w:eastAsia="宋体" w:hAnsi="Times New Roman"/>
          <w:b/>
          <w:bCs/>
          <w:color w:val="000000"/>
          <w:sz w:val="21"/>
          <w:szCs w:val="21"/>
        </w:rPr>
        <w:t xml:space="preserve">供货范围</w:t>
      </w:r>
      <w:r>
        <w:rPr>
          <w:rFonts w:ascii="Times New Roman" w:eastAsia="宋体" w:hAnsi="Times New Roman"/>
          <w:b w:val="false"/>
          <w:bCs w:val="false"/>
          <w:color w:val="000000"/>
          <w:sz w:val="21"/>
          <w:szCs w:val="21"/>
        </w:rPr>
        <w:t xml:space="preserve">：附件一为本项目所需设备与器具的完整清单，</w:t>
      </w:r>
      <w:r>
        <w:rPr>
          <w:rFonts w:ascii="Times New Roman" w:eastAsia="宋体" w:hAnsi="Times New Roman"/>
          <w:b/>
          <w:bCs/>
          <w:color w:val="000000"/>
          <w:sz w:val="21"/>
          <w:szCs w:val="21"/>
        </w:rPr>
        <w:t xml:space="preserve">由中标人全部供应</w:t>
      </w:r>
      <w:r>
        <w:rPr>
          <w:rFonts w:ascii="Times New Roman" w:eastAsia="宋体" w:hAnsi="Times New Roman"/>
          <w:b w:val="false"/>
          <w:bCs w:val="false"/>
          <w:color w:val="000000"/>
          <w:sz w:val="21"/>
          <w:szCs w:val="21"/>
        </w:rPr>
        <w:t xml:space="preserve">。中标人应保证清单内各项齐备并配套完整，满足平台开展临床检测的全部需要；投标人不得对清单内任何一项作缺项或以「院方自备」等方式排除。</w:t>
      </w:r>
    </w:p>
    <w:p>
      <w:pPr>
        <w:spacing w:after="100" w:line="380"/>
        <w:ind w:left="0" w:firstLine="420"/>
        <w:jc w:val="both"/>
      </w:pPr>
      <w:r>
        <w:rPr>
          <w:rFonts w:ascii="Times New Roman" w:eastAsia="宋体" w:hAnsi="Times New Roman"/>
          <w:b w:val="false"/>
          <w:bCs w:val="false"/>
          <w:color w:val="000000"/>
          <w:sz w:val="21"/>
          <w:szCs w:val="21"/>
        </w:rPr>
        <w:t xml:space="preserve">（五）</w:t>
      </w:r>
      <w:r>
        <w:rPr>
          <w:rFonts w:ascii="Times New Roman" w:eastAsia="宋体" w:hAnsi="Times New Roman"/>
          <w:b/>
          <w:bCs/>
          <w:color w:val="000000"/>
          <w:sz w:val="21"/>
          <w:szCs w:val="21"/>
        </w:rPr>
        <w:t xml:space="preserve">服务期限</w:t>
      </w:r>
      <w:r>
        <w:rPr>
          <w:rFonts w:ascii="Times New Roman" w:eastAsia="宋体" w:hAnsi="Times New Roman"/>
          <w:b w:val="false"/>
          <w:bCs w:val="false"/>
          <w:color w:val="000000"/>
          <w:sz w:val="21"/>
          <w:szCs w:val="21"/>
        </w:rPr>
        <w:t xml:space="preserve">：自合同签订之日起 </w:t>
      </w:r>
      <w:r>
        <w:rPr>
          <w:rFonts w:ascii="Times New Roman" w:eastAsia="宋体" w:hAnsi="Times New Roman"/>
          <w:sz w:val="21"/>
          <w:szCs w:val="21"/>
          <w:u w:val="single"/>
        </w:rPr>
        <w:t xml:space="preserve">        </w:t>
      </w:r>
      <w:r>
        <w:rPr>
          <w:rFonts w:ascii="Times New Roman" w:eastAsia="宋体" w:hAnsi="Times New Roman"/>
          <w:b w:val="false"/>
          <w:bCs w:val="false"/>
          <w:color w:val="000000"/>
          <w:sz w:val="21"/>
          <w:szCs w:val="21"/>
        </w:rPr>
        <w:t xml:space="preserve"> 年。</w:t>
      </w:r>
    </w:p>
    <w:p>
      <w:pPr>
        <w:keepNext/>
        <w:spacing w:after="140" w:before="320" w:line="380"/>
      </w:pPr>
      <w:r>
        <w:rPr>
          <w:rFonts w:ascii="Arial" w:eastAsia="黑体" w:hAnsi="Arial"/>
          <w:b/>
          <w:bCs/>
          <w:color w:val="000000"/>
          <w:sz w:val="25"/>
          <w:szCs w:val="25"/>
        </w:rPr>
        <w:t xml:space="preserve">二、基因测序仪技术要求</w:t>
      </w:r>
    </w:p>
    <w:p>
      <w:pPr>
        <w:spacing w:after="100" w:line="380"/>
        <w:ind w:left="0" w:firstLine="420"/>
        <w:jc w:val="both"/>
      </w:pPr>
      <w:r>
        <w:rPr>
          <w:rFonts w:ascii="Times New Roman" w:eastAsia="宋体" w:hAnsi="Times New Roman"/>
          <w:b w:val="false"/>
          <w:bCs w:val="false"/>
          <w:color w:val="000000"/>
          <w:sz w:val="21"/>
          <w:szCs w:val="21"/>
        </w:rPr>
        <w:t xml:space="preserve">本部分以资质与功能性指标描述需求，</w:t>
      </w:r>
      <w:r>
        <w:rPr>
          <w:rFonts w:ascii="Times New Roman" w:eastAsia="宋体" w:hAnsi="Times New Roman"/>
          <w:b/>
          <w:bCs/>
          <w:color w:val="000000"/>
          <w:sz w:val="21"/>
          <w:szCs w:val="21"/>
        </w:rPr>
        <w:t xml:space="preserve">不指定品牌、型号、专利或供应商</w:t>
      </w:r>
      <w:r>
        <w:rPr>
          <w:rFonts w:ascii="Times New Roman" w:eastAsia="宋体" w:hAnsi="Times New Roman"/>
          <w:b w:val="false"/>
          <w:bCs w:val="false"/>
          <w:color w:val="000000"/>
          <w:sz w:val="21"/>
          <w:szCs w:val="21"/>
        </w:rPr>
        <w:t xml:space="preserve">。投标人可提供满足下列要求的任何产品，数量 1 台。</w:t>
      </w:r>
    </w:p>
    <w:p>
      <w:pPr>
        <w:keepNext/>
        <w:spacing w:after="80" w:before="140"/>
      </w:pPr>
      <w:r>
        <w:rPr>
          <w:rFonts w:ascii="Arial" w:eastAsia="黑体" w:hAnsi="Arial"/>
          <w:b/>
          <w:bCs/>
          <w:color w:val="000000"/>
          <w:sz w:val="20"/>
          <w:szCs w:val="20"/>
        </w:rPr>
        <w:t xml:space="preserve">表 1　基因测序仪技术要求</w:t>
      </w:r>
    </w:p>
    <w:tbl>
      <w:tblPr>
        <w:tblW w:type="dxa" w:w="9860"/>
        <w:tblBorders>
          <w:top w:val="none" w:color="FFFFFF" w:sz="0"/>
          <w:left w:val="none" w:color="FFFFFF" w:sz="0"/>
          <w:bottom w:val="none" w:color="FFFFFF" w:sz="0"/>
          <w:right w:val="none" w:color="FFFFFF" w:sz="0"/>
          <w:insideH w:val="none" w:color="FFFFFF" w:sz="0"/>
          <w:insideV w:val="none" w:color="FFFFFF" w:sz="0"/>
        </w:tblBorders>
      </w:tblPr>
      <w:tblGrid>
        <w:gridCol w:w="700"/>
        <w:gridCol w:w="1900"/>
        <w:gridCol w:w="7260"/>
      </w:tblGrid>
      <w:tr>
        <w:trPr>
          <w:tblHeader/>
        </w:trPr>
        <w:tc>
          <w:tcPr>
            <w:tcW w:type="dxa" w:w="7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序号</w:t>
            </w:r>
          </w:p>
        </w:tc>
        <w:tc>
          <w:tcPr>
            <w:tcW w:type="dxa" w:w="19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项目</w:t>
            </w:r>
          </w:p>
        </w:tc>
        <w:tc>
          <w:tcPr>
            <w:tcW w:type="dxa" w:w="726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要求</w:t>
            </w:r>
          </w:p>
        </w:tc>
      </w:tr>
      <w:tr>
        <w:tc>
          <w:tcPr>
            <w:tcW w:type="dxa" w:w="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注册资质</w:t>
            </w:r>
          </w:p>
        </w:tc>
        <w:tc>
          <w:tcPr>
            <w:tcW w:type="dxa" w:w="72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所投产品应为已取得国家药品监督管理局第三类医疗器械注册证的临床用高通量基因测序仪，注册证在有效期内。</w:t>
            </w:r>
          </w:p>
        </w:tc>
      </w:tr>
      <w:tr>
        <w:tc>
          <w:tcPr>
            <w:tcW w:type="dxa" w:w="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2</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测序原理</w:t>
            </w:r>
          </w:p>
        </w:tc>
        <w:tc>
          <w:tcPr>
            <w:tcW w:type="dxa" w:w="72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不限。</w:t>
            </w:r>
          </w:p>
        </w:tc>
      </w:tr>
      <w:tr>
        <w:tc>
          <w:tcPr>
            <w:tcW w:type="dxa" w:w="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3</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配套试剂的注册匹配</w:t>
            </w:r>
          </w:p>
        </w:tc>
        <w:tc>
          <w:tcPr>
            <w:tcW w:type="dxa" w:w="72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所投测序仪应具备可配套使用的、已取得第三类医疗器械注册证的肿瘤检测试剂盒。投标人须</w:t>
            </w:r>
            <w:r>
              <w:rPr>
                <w:rFonts w:ascii="Times New Roman" w:eastAsia="宋体" w:hAnsi="Times New Roman"/>
                <w:b/>
                <w:bCs/>
                <w:color w:val="000000"/>
                <w:sz w:val="18"/>
                <w:szCs w:val="18"/>
              </w:rPr>
              <w:t xml:space="preserve">就附件二所列的每一癌种分别列明</w:t>
            </w:r>
            <w:r>
              <w:rPr>
                <w:rFonts w:ascii="Times New Roman" w:eastAsia="宋体" w:hAnsi="Times New Roman"/>
                <w:b w:val="false"/>
                <w:bCs w:val="false"/>
                <w:color w:val="000000"/>
                <w:sz w:val="18"/>
                <w:szCs w:val="18"/>
              </w:rPr>
              <w:t xml:space="preserve">对应试剂盒的名称与注册证编号，并提供注册证复印件；</w:t>
            </w:r>
            <w:r>
              <w:rPr>
                <w:rFonts w:ascii="Times New Roman" w:eastAsia="宋体" w:hAnsi="Times New Roman"/>
                <w:b/>
                <w:bCs/>
                <w:color w:val="000000"/>
                <w:sz w:val="18"/>
                <w:szCs w:val="18"/>
              </w:rPr>
              <w:t xml:space="preserve">试剂盒注册证载明的适用机型应包含所投机型</w:t>
            </w:r>
            <w:r>
              <w:rPr>
                <w:rFonts w:ascii="Times New Roman" w:eastAsia="宋体" w:hAnsi="Times New Roman"/>
                <w:b w:val="false"/>
                <w:bCs w:val="false"/>
                <w:color w:val="000000"/>
                <w:sz w:val="18"/>
                <w:szCs w:val="18"/>
              </w:rPr>
              <w:t xml:space="preserve">。</w:t>
            </w:r>
          </w:p>
        </w:tc>
      </w:tr>
      <w:tr>
        <w:tc>
          <w:tcPr>
            <w:tcW w:type="dxa" w:w="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4</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建库方法学</w:t>
            </w:r>
          </w:p>
        </w:tc>
        <w:tc>
          <w:tcPr>
            <w:tcW w:type="dxa" w:w="72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所投试剂盒应采用</w:t>
            </w:r>
            <w:r>
              <w:rPr>
                <w:rFonts w:ascii="Times New Roman" w:eastAsia="宋体" w:hAnsi="Times New Roman"/>
                <w:b/>
                <w:bCs/>
                <w:color w:val="000000"/>
                <w:sz w:val="18"/>
                <w:szCs w:val="18"/>
              </w:rPr>
              <w:t xml:space="preserve">杂交捕获富集法</w:t>
            </w:r>
            <w:r>
              <w:rPr>
                <w:rFonts w:ascii="Times New Roman" w:eastAsia="宋体" w:hAnsi="Times New Roman"/>
                <w:b w:val="false"/>
                <w:bCs w:val="false"/>
                <w:color w:val="000000"/>
                <w:sz w:val="18"/>
                <w:szCs w:val="18"/>
              </w:rPr>
              <w:t xml:space="preserve">建库，支持点突变、插入缺失、基因融合与拷贝数变异的同步检测。</w:t>
            </w:r>
          </w:p>
        </w:tc>
      </w:tr>
      <w:tr>
        <w:tc>
          <w:tcPr>
            <w:tcW w:type="dxa" w:w="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5</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样本类型</w:t>
            </w:r>
          </w:p>
        </w:tc>
        <w:tc>
          <w:tcPr>
            <w:tcW w:type="dxa" w:w="72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应支持</w:t>
            </w:r>
            <w:r>
              <w:rPr>
                <w:rFonts w:ascii="Times New Roman" w:eastAsia="宋体" w:hAnsi="Times New Roman"/>
                <w:b/>
                <w:bCs/>
                <w:color w:val="000000"/>
                <w:sz w:val="18"/>
                <w:szCs w:val="18"/>
              </w:rPr>
              <w:t xml:space="preserve">肿瘤组织（FFPE）与外周血血浆游离 DNA（cfDNA）两类样本</w:t>
            </w:r>
            <w:r>
              <w:rPr>
                <w:rFonts w:ascii="Times New Roman" w:eastAsia="宋体" w:hAnsi="Times New Roman"/>
                <w:b w:val="false"/>
                <w:bCs w:val="false"/>
                <w:color w:val="000000"/>
                <w:sz w:val="18"/>
                <w:szCs w:val="18"/>
              </w:rPr>
              <w:t xml:space="preserve">的检测，且两类样本均具备对应的已注册检测试剂盒。</w:t>
            </w:r>
          </w:p>
        </w:tc>
      </w:tr>
      <w:tr>
        <w:tc>
          <w:tcPr>
            <w:tcW w:type="dxa" w:w="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6</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检测能力</w:t>
            </w:r>
          </w:p>
        </w:tc>
        <w:tc>
          <w:tcPr>
            <w:tcW w:type="dxa" w:w="72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单次运行可同时检测的样本数不少于 </w:t>
            </w:r>
            <w:r>
              <w:rPr>
                <w:rFonts w:ascii="Times New Roman" w:eastAsia="宋体" w:hAnsi="Times New Roman"/>
                <w:sz w:val="18"/>
                <w:szCs w:val="18"/>
                <w:u w:val="single"/>
              </w:rPr>
              <w:t xml:space="preserve">        </w:t>
            </w:r>
            <w:r>
              <w:rPr>
                <w:rFonts w:ascii="Times New Roman" w:eastAsia="宋体" w:hAnsi="Times New Roman"/>
                <w:b w:val="false"/>
                <w:bCs w:val="false"/>
                <w:color w:val="000000"/>
                <w:sz w:val="18"/>
                <w:szCs w:val="18"/>
              </w:rPr>
              <w:t xml:space="preserve"> 例。</w:t>
            </w:r>
          </w:p>
        </w:tc>
      </w:tr>
      <w:tr>
        <w:tc>
          <w:tcPr>
            <w:tcW w:type="dxa" w:w="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7</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数据分析</w:t>
            </w:r>
          </w:p>
        </w:tc>
        <w:tc>
          <w:tcPr>
            <w:tcW w:type="dxa" w:w="72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应配置与所投试剂盒相匹配的生物信息分析与报告解读软件或软硬件一体设备，支持院内本地化部署，不得要求将原始数据上传至院外。</w:t>
            </w:r>
          </w:p>
        </w:tc>
      </w:tr>
      <w:tr>
        <w:tc>
          <w:tcPr>
            <w:tcW w:type="dxa" w:w="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8</w:t>
            </w:r>
          </w:p>
        </w:tc>
        <w:tc>
          <w:tcPr>
            <w:tcW w:type="dxa" w:w="19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环境与配套</w:t>
            </w:r>
          </w:p>
        </w:tc>
        <w:tc>
          <w:tcPr>
            <w:tcW w:type="dxa" w:w="72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投标人须提供设备的供电、温湿度、承重、给排水与网络接入要求，并说明是否需要配置不间断电源；相关配套条件的适配由中标人负责。</w:t>
            </w:r>
          </w:p>
        </w:tc>
      </w:tr>
      <w:tr>
        <w:tc>
          <w:tcPr>
            <w:tcW w:type="dxa" w:w="7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9</w:t>
            </w:r>
          </w:p>
        </w:tc>
        <w:tc>
          <w:tcPr>
            <w:tcW w:type="dxa" w:w="19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数量</w:t>
            </w:r>
          </w:p>
        </w:tc>
        <w:tc>
          <w:tcPr>
            <w:tcW w:type="dxa" w:w="726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1 台。</w:t>
            </w:r>
          </w:p>
        </w:tc>
      </w:tr>
    </w:tbl>
    <w:p>
      <w:pPr>
        <w:keepNext/>
        <w:spacing w:after="140" w:before="320" w:line="380"/>
      </w:pPr>
      <w:r>
        <w:rPr>
          <w:rFonts w:ascii="Arial" w:eastAsia="黑体" w:hAnsi="Arial"/>
          <w:b/>
          <w:bCs/>
          <w:color w:val="000000"/>
          <w:sz w:val="25"/>
          <w:szCs w:val="25"/>
        </w:rPr>
        <w:t xml:space="preserve">三、配套设备与器具</w:t>
      </w:r>
    </w:p>
    <w:p>
      <w:pPr>
        <w:spacing w:after="100" w:line="380"/>
        <w:ind w:left="0" w:firstLine="420"/>
        <w:jc w:val="both"/>
      </w:pPr>
      <w:r>
        <w:rPr>
          <w:rFonts w:ascii="Times New Roman" w:eastAsia="宋体" w:hAnsi="Times New Roman"/>
          <w:b w:val="false"/>
          <w:bCs w:val="false"/>
          <w:color w:val="000000"/>
          <w:sz w:val="21"/>
          <w:szCs w:val="21"/>
        </w:rPr>
        <w:t xml:space="preserve">（一）配套设备与器具的名称、技术参数与数量详见附件一，按功能分区列明。</w:t>
      </w:r>
    </w:p>
    <w:p>
      <w:pPr>
        <w:spacing w:after="100" w:line="380"/>
        <w:ind w:left="0" w:firstLine="420"/>
        <w:jc w:val="both"/>
      </w:pPr>
      <w:r>
        <w:rPr>
          <w:rFonts w:ascii="Times New Roman" w:eastAsia="宋体" w:hAnsi="Times New Roman"/>
          <w:b w:val="false"/>
          <w:bCs w:val="false"/>
          <w:color w:val="000000"/>
          <w:sz w:val="21"/>
          <w:szCs w:val="21"/>
        </w:rPr>
        <w:t xml:space="preserve">（二）附件一以设备通用名称与技术参数描述需求，</w:t>
      </w:r>
      <w:r>
        <w:rPr>
          <w:rFonts w:ascii="Times New Roman" w:eastAsia="宋体" w:hAnsi="Times New Roman"/>
          <w:b/>
          <w:bCs/>
          <w:color w:val="000000"/>
          <w:sz w:val="21"/>
          <w:szCs w:val="21"/>
        </w:rPr>
        <w:t xml:space="preserve">不指定品牌与型号</w:t>
      </w:r>
      <w:r>
        <w:rPr>
          <w:rFonts w:ascii="Times New Roman" w:eastAsia="宋体" w:hAnsi="Times New Roman"/>
          <w:b w:val="false"/>
          <w:bCs w:val="false"/>
          <w:color w:val="000000"/>
          <w:sz w:val="21"/>
          <w:szCs w:val="21"/>
        </w:rPr>
        <w:t xml:space="preserve">。投标人应逐项应答所投产品的品牌、型号与技术参数，并提供满足参数要求的证明材料。</w:t>
      </w:r>
    </w:p>
    <w:p>
      <w:pPr>
        <w:spacing w:after="100" w:line="380"/>
        <w:ind w:left="0" w:firstLine="420"/>
        <w:jc w:val="both"/>
      </w:pPr>
      <w:r>
        <w:rPr>
          <w:rFonts w:ascii="Times New Roman" w:eastAsia="宋体" w:hAnsi="Times New Roman"/>
          <w:b w:val="false"/>
          <w:bCs w:val="false"/>
          <w:color w:val="000000"/>
          <w:sz w:val="21"/>
          <w:szCs w:val="21"/>
        </w:rPr>
        <w:t xml:space="preserve">（三）附件一所列为设备与器具，不含检测试剂与实验耗材。</w:t>
      </w:r>
    </w:p>
    <w:p>
      <w:pPr>
        <w:keepNext/>
        <w:spacing w:after="140" w:before="320" w:line="380"/>
      </w:pPr>
      <w:r>
        <w:rPr>
          <w:rFonts w:ascii="Arial" w:eastAsia="黑体" w:hAnsi="Arial"/>
          <w:b/>
          <w:bCs/>
          <w:color w:val="000000"/>
          <w:sz w:val="25"/>
          <w:szCs w:val="25"/>
        </w:rPr>
        <w:t xml:space="preserve">四、检测试剂</w:t>
      </w:r>
    </w:p>
    <w:p>
      <w:pPr>
        <w:spacing w:after="100" w:line="380"/>
        <w:ind w:left="0" w:firstLine="420"/>
        <w:jc w:val="both"/>
      </w:pPr>
      <w:r>
        <w:rPr>
          <w:rFonts w:ascii="Times New Roman" w:eastAsia="宋体" w:hAnsi="Times New Roman"/>
          <w:b w:val="false"/>
          <w:bCs w:val="false"/>
          <w:color w:val="000000"/>
          <w:sz w:val="21"/>
          <w:szCs w:val="21"/>
        </w:rPr>
        <w:t xml:space="preserve">（一）</w:t>
      </w:r>
      <w:r>
        <w:rPr>
          <w:rFonts w:ascii="Times New Roman" w:eastAsia="宋体" w:hAnsi="Times New Roman"/>
          <w:b/>
          <w:bCs/>
          <w:color w:val="000000"/>
          <w:sz w:val="21"/>
          <w:szCs w:val="21"/>
        </w:rPr>
        <w:t xml:space="preserve">范围</w:t>
      </w:r>
      <w:r>
        <w:rPr>
          <w:rFonts w:ascii="Times New Roman" w:eastAsia="宋体" w:hAnsi="Times New Roman"/>
          <w:b w:val="false"/>
          <w:bCs w:val="false"/>
          <w:color w:val="000000"/>
          <w:sz w:val="21"/>
          <w:szCs w:val="21"/>
        </w:rPr>
        <w:t xml:space="preserve">：本次采购包含附件二所列拟开展检测项目对应的检测试剂。每一癌种可包含多个检测项目及多个试剂盒，具体清单由投标人在投标文件中逐项列明。</w:t>
      </w:r>
    </w:p>
    <w:p>
      <w:pPr>
        <w:spacing w:after="100" w:line="380"/>
        <w:ind w:left="0" w:firstLine="420"/>
        <w:jc w:val="both"/>
      </w:pPr>
      <w:r>
        <w:rPr>
          <w:rFonts w:ascii="Times New Roman" w:eastAsia="宋体" w:hAnsi="Times New Roman"/>
          <w:b w:val="false"/>
          <w:bCs w:val="false"/>
          <w:color w:val="000000"/>
          <w:sz w:val="21"/>
          <w:szCs w:val="21"/>
        </w:rPr>
        <w:t xml:space="preserve">（二）</w:t>
      </w:r>
      <w:r>
        <w:rPr>
          <w:rFonts w:ascii="Times New Roman" w:eastAsia="宋体" w:hAnsi="Times New Roman"/>
          <w:b/>
          <w:bCs/>
          <w:color w:val="000000"/>
          <w:sz w:val="21"/>
          <w:szCs w:val="21"/>
        </w:rPr>
        <w:t xml:space="preserve">注册合规</w:t>
      </w:r>
      <w:r>
        <w:rPr>
          <w:rFonts w:ascii="Times New Roman" w:eastAsia="宋体" w:hAnsi="Times New Roman"/>
          <w:b w:val="false"/>
          <w:bCs w:val="false"/>
          <w:color w:val="000000"/>
          <w:sz w:val="21"/>
          <w:szCs w:val="21"/>
        </w:rPr>
        <w:t xml:space="preserve">：所投试剂盒须已取得国家药品监督管理局第三类医疗器械注册证，注册证在有效期内，注册证载明的适用范围覆盖所对应的癌种，</w:t>
      </w:r>
      <w:r>
        <w:rPr>
          <w:rFonts w:ascii="Times New Roman" w:eastAsia="宋体" w:hAnsi="Times New Roman"/>
          <w:b/>
          <w:bCs/>
          <w:color w:val="000000"/>
          <w:sz w:val="21"/>
          <w:szCs w:val="21"/>
        </w:rPr>
        <w:t xml:space="preserve">且载明的适用机型包含所投基因测序仪机型</w:t>
      </w:r>
      <w:r>
        <w:rPr>
          <w:rFonts w:ascii="Times New Roman" w:eastAsia="宋体" w:hAnsi="Times New Roman"/>
          <w:b w:val="false"/>
          <w:bCs w:val="false"/>
          <w:color w:val="000000"/>
          <w:sz w:val="21"/>
          <w:szCs w:val="21"/>
        </w:rPr>
        <w:t xml:space="preserve">。投标人须逐项提供试剂盒名称、注册证编号、注册适用范围与适用机型。</w:t>
      </w:r>
    </w:p>
    <w:p>
      <w:pPr>
        <w:spacing w:after="100" w:line="380"/>
        <w:ind w:left="0" w:firstLine="420"/>
        <w:jc w:val="both"/>
      </w:pPr>
      <w:r>
        <w:rPr>
          <w:rFonts w:ascii="Times New Roman" w:eastAsia="宋体" w:hAnsi="Times New Roman"/>
          <w:b w:val="false"/>
          <w:bCs w:val="false"/>
          <w:color w:val="000000"/>
          <w:sz w:val="21"/>
          <w:szCs w:val="21"/>
        </w:rPr>
        <w:t xml:space="preserve">（三）</w:t>
      </w:r>
      <w:r>
        <w:rPr>
          <w:rFonts w:ascii="Times New Roman" w:eastAsia="宋体" w:hAnsi="Times New Roman"/>
          <w:b/>
          <w:bCs/>
          <w:color w:val="000000"/>
          <w:sz w:val="21"/>
          <w:szCs w:val="21"/>
        </w:rPr>
        <w:t xml:space="preserve">报价方式</w:t>
      </w:r>
      <w:r>
        <w:rPr>
          <w:rFonts w:ascii="Times New Roman" w:eastAsia="宋体" w:hAnsi="Times New Roman"/>
          <w:b w:val="false"/>
          <w:bCs w:val="false"/>
          <w:color w:val="000000"/>
          <w:sz w:val="21"/>
          <w:szCs w:val="21"/>
        </w:rPr>
        <w:t xml:space="preserve">：试剂以</w:t>
      </w:r>
      <w:r>
        <w:rPr>
          <w:rFonts w:ascii="Times New Roman" w:eastAsia="宋体" w:hAnsi="Times New Roman"/>
          <w:b/>
          <w:bCs/>
          <w:color w:val="000000"/>
          <w:sz w:val="21"/>
          <w:szCs w:val="21"/>
        </w:rPr>
        <w:t xml:space="preserve">所对应检测项目的收费标准为基准</w:t>
      </w:r>
      <w:r>
        <w:rPr>
          <w:rFonts w:ascii="Times New Roman" w:eastAsia="宋体" w:hAnsi="Times New Roman"/>
          <w:b w:val="false"/>
          <w:bCs w:val="false"/>
          <w:color w:val="000000"/>
          <w:sz w:val="21"/>
          <w:szCs w:val="21"/>
        </w:rPr>
        <w:t xml:space="preserve">报价，收费标准按江苏省现行医疗服务价格政策执行。</w:t>
      </w:r>
      <w:r>
        <w:rPr>
          <w:rFonts w:ascii="Times New Roman" w:eastAsia="宋体" w:hAnsi="Times New Roman"/>
          <w:b/>
          <w:bCs/>
          <w:color w:val="000000"/>
          <w:sz w:val="21"/>
          <w:szCs w:val="21"/>
        </w:rPr>
        <w:t xml:space="preserve">投标人所报试剂单价，不高于所对应检测项目收费标准的 ＿＿ ％</w:t>
      </w:r>
      <w:r>
        <w:rPr>
          <w:rFonts w:ascii="Times New Roman" w:eastAsia="宋体" w:hAnsi="Times New Roman"/>
          <w:b w:val="false"/>
          <w:bCs w:val="false"/>
          <w:color w:val="000000"/>
          <w:sz w:val="21"/>
          <w:szCs w:val="21"/>
        </w:rPr>
        <w:t xml:space="preserve">，该比例在服务期内保持不变。</w:t>
      </w:r>
      <w:r>
        <w:rPr>
          <w:rFonts w:ascii="Times New Roman" w:eastAsia="宋体" w:hAnsi="Times New Roman"/>
          <w:b/>
          <w:bCs/>
          <w:color w:val="000000"/>
          <w:sz w:val="21"/>
          <w:szCs w:val="21"/>
        </w:rPr>
        <w:t xml:space="preserve">服务期内医疗服务价格政策调整的，按调整后的收费标准与所报比例执行。</w:t>
      </w:r>
      <w:r>
        <w:rPr>
          <w:rFonts w:ascii="Times New Roman" w:eastAsia="宋体" w:hAnsi="Times New Roman"/>
          <w:b w:val="false"/>
          <w:bCs w:val="false"/>
          <w:color w:val="000000"/>
          <w:sz w:val="21"/>
          <w:szCs w:val="21"/>
        </w:rPr>
        <w:t xml:space="preserve">所投试剂纳入国家或省级集中带量采购范围的，按中选结果执行。</w:t>
      </w:r>
    </w:p>
    <w:p>
      <w:pPr>
        <w:spacing w:after="100" w:line="380"/>
        <w:ind w:left="0" w:firstLine="420"/>
        <w:jc w:val="both"/>
      </w:pPr>
      <w:r>
        <w:rPr>
          <w:rFonts w:ascii="Times New Roman" w:eastAsia="宋体" w:hAnsi="Times New Roman"/>
          <w:b w:val="false"/>
          <w:bCs w:val="false"/>
          <w:color w:val="000000"/>
          <w:sz w:val="21"/>
          <w:szCs w:val="21"/>
        </w:rPr>
        <w:t xml:space="preserve">（四）</w:t>
      </w:r>
      <w:r>
        <w:rPr>
          <w:rFonts w:ascii="Times New Roman" w:eastAsia="宋体" w:hAnsi="Times New Roman"/>
          <w:b/>
          <w:bCs/>
          <w:color w:val="000000"/>
          <w:sz w:val="21"/>
          <w:szCs w:val="21"/>
        </w:rPr>
        <w:t xml:space="preserve">性能验证</w:t>
      </w:r>
      <w:r>
        <w:rPr>
          <w:rFonts w:ascii="Times New Roman" w:eastAsia="宋体" w:hAnsi="Times New Roman"/>
          <w:b w:val="false"/>
          <w:bCs w:val="false"/>
          <w:color w:val="000000"/>
          <w:sz w:val="21"/>
          <w:szCs w:val="21"/>
        </w:rPr>
        <w:t xml:space="preserve">：所投试剂盒须通过院方组织的方法学性能验证方可用于临床检测，验证结论由院方确认；未通过验证的产品应予更换。</w:t>
      </w:r>
    </w:p>
    <w:p>
      <w:pPr>
        <w:spacing w:after="100" w:line="380"/>
        <w:ind w:left="0" w:firstLine="420"/>
        <w:jc w:val="both"/>
      </w:pPr>
      <w:r>
        <w:rPr>
          <w:rFonts w:ascii="Times New Roman" w:eastAsia="宋体" w:hAnsi="Times New Roman"/>
          <w:b w:val="false"/>
          <w:bCs w:val="false"/>
          <w:color w:val="000000"/>
          <w:sz w:val="21"/>
          <w:szCs w:val="21"/>
        </w:rPr>
        <w:t xml:space="preserve">（五）</w:t>
      </w:r>
      <w:r>
        <w:rPr>
          <w:rFonts w:ascii="Times New Roman" w:eastAsia="宋体" w:hAnsi="Times New Roman"/>
          <w:b/>
          <w:bCs/>
          <w:color w:val="000000"/>
          <w:sz w:val="21"/>
          <w:szCs w:val="21"/>
        </w:rPr>
        <w:t xml:space="preserve">供应保障</w:t>
      </w:r>
      <w:r>
        <w:rPr>
          <w:rFonts w:ascii="Times New Roman" w:eastAsia="宋体" w:hAnsi="Times New Roman"/>
          <w:b w:val="false"/>
          <w:bCs w:val="false"/>
          <w:color w:val="000000"/>
          <w:sz w:val="21"/>
          <w:szCs w:val="21"/>
        </w:rPr>
        <w:t xml:space="preserve">：中标人应保证试剂在服务期内的持续稳定供应，并按院方需求提供冷链配送。</w:t>
      </w:r>
    </w:p>
    <w:p>
      <w:pPr>
        <w:keepNext/>
        <w:spacing w:after="140" w:before="320" w:line="380"/>
      </w:pPr>
      <w:r>
        <w:rPr>
          <w:rFonts w:ascii="Arial" w:eastAsia="黑体" w:hAnsi="Arial"/>
          <w:b/>
          <w:bCs/>
          <w:color w:val="000000"/>
          <w:sz w:val="25"/>
          <w:szCs w:val="25"/>
        </w:rPr>
        <w:t xml:space="preserve">五、服务要求</w:t>
      </w:r>
    </w:p>
    <w:p>
      <w:pPr>
        <w:spacing w:after="100" w:line="380"/>
        <w:ind w:left="0" w:firstLine="420"/>
        <w:jc w:val="both"/>
      </w:pPr>
      <w:r>
        <w:rPr>
          <w:rFonts w:ascii="Times New Roman" w:eastAsia="宋体" w:hAnsi="Times New Roman"/>
          <w:b w:val="false"/>
          <w:bCs w:val="false"/>
          <w:color w:val="000000"/>
          <w:sz w:val="21"/>
          <w:szCs w:val="21"/>
        </w:rPr>
        <w:t xml:space="preserve">（一）</w:t>
      </w:r>
      <w:r>
        <w:rPr>
          <w:rFonts w:ascii="Times New Roman" w:eastAsia="宋体" w:hAnsi="Times New Roman"/>
          <w:b/>
          <w:bCs/>
          <w:color w:val="000000"/>
          <w:sz w:val="21"/>
          <w:szCs w:val="21"/>
        </w:rPr>
        <w:t xml:space="preserve">供应、安装与调试</w:t>
      </w:r>
      <w:r>
        <w:rPr>
          <w:rFonts w:ascii="Times New Roman" w:eastAsia="宋体" w:hAnsi="Times New Roman"/>
          <w:b w:val="false"/>
          <w:bCs w:val="false"/>
          <w:color w:val="000000"/>
          <w:sz w:val="21"/>
          <w:szCs w:val="21"/>
        </w:rPr>
        <w:t xml:space="preserve">。负责所供设备的运输、就位、安装与调试，直至各功能分区具备开展临床检测的条件。</w:t>
      </w:r>
    </w:p>
    <w:p>
      <w:pPr>
        <w:spacing w:after="100" w:line="380"/>
        <w:ind w:left="0" w:firstLine="420"/>
        <w:jc w:val="both"/>
      </w:pPr>
      <w:r>
        <w:rPr>
          <w:rFonts w:ascii="Times New Roman" w:eastAsia="宋体" w:hAnsi="Times New Roman"/>
          <w:b w:val="false"/>
          <w:bCs w:val="false"/>
          <w:color w:val="000000"/>
          <w:sz w:val="21"/>
          <w:szCs w:val="21"/>
        </w:rPr>
        <w:t xml:space="preserve">（二）</w:t>
      </w:r>
      <w:r>
        <w:rPr>
          <w:rFonts w:ascii="Times New Roman" w:eastAsia="宋体" w:hAnsi="Times New Roman"/>
          <w:b/>
          <w:bCs/>
          <w:color w:val="000000"/>
          <w:sz w:val="21"/>
          <w:szCs w:val="21"/>
        </w:rPr>
        <w:t xml:space="preserve">培训与技术转移</w:t>
      </w:r>
      <w:r>
        <w:rPr>
          <w:rFonts w:ascii="Times New Roman" w:eastAsia="宋体" w:hAnsi="Times New Roman"/>
          <w:b w:val="false"/>
          <w:bCs w:val="false"/>
          <w:color w:val="000000"/>
          <w:sz w:val="21"/>
          <w:szCs w:val="21"/>
        </w:rPr>
        <w:t xml:space="preserve">。对院方指定人员进行系统培训，内容覆盖样本前处理、文库构建、杂交捕获、上机测序、数据分析与报告解读全流程，</w:t>
      </w:r>
      <w:r>
        <w:rPr>
          <w:rFonts w:ascii="Times New Roman" w:eastAsia="宋体" w:hAnsi="Times New Roman"/>
          <w:b/>
          <w:bCs/>
          <w:color w:val="000000"/>
          <w:sz w:val="21"/>
          <w:szCs w:val="21"/>
        </w:rPr>
        <w:t xml:space="preserve">直至院方人员具备独立操作能力</w:t>
      </w:r>
      <w:r>
        <w:rPr>
          <w:rFonts w:ascii="Times New Roman" w:eastAsia="宋体" w:hAnsi="Times New Roman"/>
          <w:b w:val="false"/>
          <w:bCs w:val="false"/>
          <w:color w:val="000000"/>
          <w:sz w:val="21"/>
          <w:szCs w:val="21"/>
        </w:rPr>
        <w:t xml:space="preserve">；并提供检测项目的临床沟通与疑难病例报告解读支持。</w:t>
      </w:r>
    </w:p>
    <w:p>
      <w:pPr>
        <w:spacing w:after="100" w:line="380"/>
        <w:ind w:left="0" w:firstLine="420"/>
        <w:jc w:val="both"/>
      </w:pPr>
      <w:r>
        <w:rPr>
          <w:rFonts w:ascii="Times New Roman" w:eastAsia="宋体" w:hAnsi="Times New Roman"/>
          <w:b w:val="false"/>
          <w:bCs w:val="false"/>
          <w:color w:val="000000"/>
          <w:sz w:val="21"/>
          <w:szCs w:val="21"/>
        </w:rPr>
        <w:t xml:space="preserve">（三）</w:t>
      </w:r>
      <w:r>
        <w:rPr>
          <w:rFonts w:ascii="Times New Roman" w:eastAsia="宋体" w:hAnsi="Times New Roman"/>
          <w:b/>
          <w:bCs/>
          <w:color w:val="000000"/>
          <w:sz w:val="21"/>
          <w:szCs w:val="21"/>
        </w:rPr>
        <w:t xml:space="preserve">人员配置</w:t>
      </w:r>
      <w:r>
        <w:rPr>
          <w:rFonts w:ascii="Times New Roman" w:eastAsia="宋体" w:hAnsi="Times New Roman"/>
          <w:b w:val="false"/>
          <w:bCs w:val="false"/>
          <w:color w:val="000000"/>
          <w:sz w:val="21"/>
          <w:szCs w:val="21"/>
        </w:rPr>
        <w:t xml:space="preserve">。中标人应指定项目负责人一名，并</w:t>
      </w:r>
      <w:r>
        <w:rPr>
          <w:rFonts w:ascii="Times New Roman" w:eastAsia="宋体" w:hAnsi="Times New Roman"/>
          <w:b/>
          <w:bCs/>
          <w:color w:val="000000"/>
          <w:sz w:val="21"/>
          <w:szCs w:val="21"/>
        </w:rPr>
        <w:t xml:space="preserve">按项目实际需要配备具备分子诊断或临床检验相关背景的技术人员不少于 1 名，参与日常项目的技术对接、培训带教与运行配合</w:t>
      </w:r>
      <w:r>
        <w:rPr>
          <w:rFonts w:ascii="Times New Roman" w:eastAsia="宋体" w:hAnsi="Times New Roman"/>
          <w:b w:val="false"/>
          <w:bCs w:val="false"/>
          <w:color w:val="000000"/>
          <w:sz w:val="21"/>
          <w:szCs w:val="21"/>
        </w:rPr>
        <w:t xml:space="preserve">；其工作范围为技术支持与运行配合，检验报告由院方具备相应资质的人员审核签发。中标人人员进入实验室应遵守院方生物安全、感染控制与信息安全的相关规定，并签署保密承诺。</w:t>
      </w:r>
    </w:p>
    <w:p>
      <w:pPr>
        <w:spacing w:after="100" w:line="380"/>
        <w:ind w:left="0" w:firstLine="420"/>
        <w:jc w:val="both"/>
      </w:pPr>
      <w:r>
        <w:rPr>
          <w:rFonts w:ascii="Times New Roman" w:eastAsia="宋体" w:hAnsi="Times New Roman"/>
          <w:b w:val="false"/>
          <w:bCs w:val="false"/>
          <w:color w:val="000000"/>
          <w:sz w:val="21"/>
          <w:szCs w:val="21"/>
        </w:rPr>
        <w:t xml:space="preserve">（四）</w:t>
      </w:r>
      <w:r>
        <w:rPr>
          <w:rFonts w:ascii="Times New Roman" w:eastAsia="宋体" w:hAnsi="Times New Roman"/>
          <w:b/>
          <w:bCs/>
          <w:color w:val="000000"/>
          <w:sz w:val="21"/>
          <w:szCs w:val="21"/>
        </w:rPr>
        <w:t xml:space="preserve">质量与售后</w:t>
      </w:r>
      <w:r>
        <w:rPr>
          <w:rFonts w:ascii="Times New Roman" w:eastAsia="宋体" w:hAnsi="Times New Roman"/>
          <w:b w:val="false"/>
          <w:bCs w:val="false"/>
          <w:color w:val="000000"/>
          <w:sz w:val="21"/>
          <w:szCs w:val="21"/>
        </w:rPr>
        <w:t xml:space="preserve">。配合院方建立本平台检测项目的标准操作规程及相关质量管理体系文件，配合完成方法学性能验证与室间质评；提供设备的日常维护、故障响应与备件供应。</w:t>
      </w:r>
    </w:p>
    <w:p>
      <w:pPr>
        <w:keepNext/>
        <w:spacing w:after="140" w:before="320" w:line="380"/>
      </w:pPr>
      <w:r>
        <w:rPr>
          <w:rFonts w:ascii="Arial" w:eastAsia="黑体" w:hAnsi="Arial"/>
          <w:b/>
          <w:bCs/>
          <w:color w:val="000000"/>
          <w:sz w:val="25"/>
          <w:szCs w:val="25"/>
        </w:rPr>
        <w:t xml:space="preserve">六、商务要求</w:t>
      </w:r>
    </w:p>
    <w:p>
      <w:pPr>
        <w:spacing w:after="100" w:line="380"/>
        <w:ind w:left="0" w:firstLine="420"/>
        <w:jc w:val="both"/>
      </w:pPr>
      <w:r>
        <w:rPr>
          <w:rFonts w:ascii="Times New Roman" w:eastAsia="宋体" w:hAnsi="Times New Roman"/>
          <w:b w:val="false"/>
          <w:bCs w:val="false"/>
          <w:color w:val="000000"/>
          <w:sz w:val="21"/>
          <w:szCs w:val="21"/>
        </w:rPr>
        <w:t xml:space="preserve">（一）</w:t>
      </w:r>
      <w:r>
        <w:rPr>
          <w:rFonts w:ascii="Times New Roman" w:eastAsia="宋体" w:hAnsi="Times New Roman"/>
          <w:b/>
          <w:bCs/>
          <w:color w:val="000000"/>
          <w:sz w:val="21"/>
          <w:szCs w:val="21"/>
        </w:rPr>
        <w:t xml:space="preserve">交付与验收</w:t>
      </w:r>
      <w:r>
        <w:rPr>
          <w:rFonts w:ascii="Times New Roman" w:eastAsia="宋体" w:hAnsi="Times New Roman"/>
          <w:b w:val="false"/>
          <w:bCs w:val="false"/>
          <w:color w:val="000000"/>
          <w:sz w:val="21"/>
          <w:szCs w:val="21"/>
        </w:rPr>
        <w:t xml:space="preserve">。设备到货、安装调试完成后由院方组织验收，验收内容包括设备功能与技术参数复核，以及拟开展项目的方法学性能验证。交付与安装期限由双方在合同中约定。</w:t>
      </w:r>
    </w:p>
    <w:p>
      <w:pPr>
        <w:spacing w:after="100" w:line="380"/>
        <w:ind w:left="0" w:firstLine="420"/>
        <w:jc w:val="both"/>
      </w:pPr>
      <w:r>
        <w:rPr>
          <w:rFonts w:ascii="Times New Roman" w:eastAsia="宋体" w:hAnsi="Times New Roman"/>
          <w:b w:val="false"/>
          <w:bCs w:val="false"/>
          <w:color w:val="000000"/>
          <w:sz w:val="21"/>
          <w:szCs w:val="21"/>
        </w:rPr>
        <w:t xml:space="preserve">（二）</w:t>
      </w:r>
      <w:r>
        <w:rPr>
          <w:rFonts w:ascii="Times New Roman" w:eastAsia="宋体" w:hAnsi="Times New Roman"/>
          <w:b/>
          <w:bCs/>
          <w:color w:val="000000"/>
          <w:sz w:val="21"/>
          <w:szCs w:val="21"/>
        </w:rPr>
        <w:t xml:space="preserve">付款</w:t>
      </w:r>
      <w:r>
        <w:rPr>
          <w:rFonts w:ascii="Times New Roman" w:eastAsia="宋体" w:hAnsi="Times New Roman"/>
          <w:b w:val="false"/>
          <w:bCs w:val="false"/>
          <w:color w:val="000000"/>
          <w:sz w:val="21"/>
          <w:szCs w:val="21"/>
        </w:rPr>
        <w:t xml:space="preserve">。</w:t>
      </w:r>
      <w:r>
        <w:rPr>
          <w:rFonts w:ascii="Times New Roman" w:eastAsia="宋体" w:hAnsi="Times New Roman"/>
          <w:b/>
          <w:bCs/>
          <w:color w:val="000000"/>
          <w:sz w:val="21"/>
          <w:szCs w:val="21"/>
        </w:rPr>
        <w:t xml:space="preserve">设备款于最终验收合格后一次性支付；试剂款按实际供货结算</w:t>
      </w:r>
      <w:r>
        <w:rPr>
          <w:rFonts w:ascii="Times New Roman" w:eastAsia="宋体" w:hAnsi="Times New Roman"/>
          <w:b w:val="false"/>
          <w:bCs w:val="false"/>
          <w:color w:val="000000"/>
          <w:sz w:val="21"/>
          <w:szCs w:val="21"/>
        </w:rPr>
        <w:t xml:space="preserve">，结算账期由双方在合同中约定。</w:t>
      </w:r>
    </w:p>
    <w:p>
      <w:pPr>
        <w:spacing w:after="100" w:line="380"/>
        <w:ind w:left="0" w:firstLine="420"/>
        <w:jc w:val="both"/>
      </w:pPr>
      <w:r>
        <w:rPr>
          <w:rFonts w:ascii="Times New Roman" w:eastAsia="宋体" w:hAnsi="Times New Roman"/>
          <w:b w:val="false"/>
          <w:bCs w:val="false"/>
          <w:color w:val="000000"/>
          <w:sz w:val="21"/>
          <w:szCs w:val="21"/>
        </w:rPr>
        <w:t xml:space="preserve">（三）</w:t>
      </w:r>
      <w:r>
        <w:rPr>
          <w:rFonts w:ascii="Times New Roman" w:eastAsia="宋体" w:hAnsi="Times New Roman"/>
          <w:b/>
          <w:bCs/>
          <w:color w:val="000000"/>
          <w:sz w:val="21"/>
          <w:szCs w:val="21"/>
        </w:rPr>
        <w:t xml:space="preserve">质保与维保</w:t>
      </w:r>
      <w:r>
        <w:rPr>
          <w:rFonts w:ascii="Times New Roman" w:eastAsia="宋体" w:hAnsi="Times New Roman"/>
          <w:b w:val="false"/>
          <w:bCs w:val="false"/>
          <w:color w:val="000000"/>
          <w:sz w:val="21"/>
          <w:szCs w:val="21"/>
        </w:rPr>
        <w:t xml:space="preserve">。中标人应提供设备质保，质保期限、故障响应与到场时限由双方在合同中约定；质保期满后的维保价格，投标人应在投标文件中一并报出。</w:t>
      </w:r>
    </w:p>
    <w:p>
      <w:pPr>
        <w:spacing w:after="100" w:line="380"/>
        <w:ind w:left="0" w:firstLine="420"/>
        <w:jc w:val="both"/>
      </w:pPr>
      <w:r>
        <w:rPr>
          <w:rFonts w:ascii="Times New Roman" w:eastAsia="宋体" w:hAnsi="Times New Roman"/>
          <w:b w:val="false"/>
          <w:bCs w:val="false"/>
          <w:color w:val="000000"/>
          <w:sz w:val="21"/>
          <w:szCs w:val="21"/>
        </w:rPr>
        <w:t xml:space="preserve">（四）</w:t>
      </w:r>
      <w:r>
        <w:rPr>
          <w:rFonts w:ascii="Times New Roman" w:eastAsia="宋体" w:hAnsi="Times New Roman"/>
          <w:b/>
          <w:bCs/>
          <w:color w:val="000000"/>
          <w:sz w:val="21"/>
          <w:szCs w:val="21"/>
        </w:rPr>
        <w:t xml:space="preserve">设备所有权</w:t>
      </w:r>
      <w:r>
        <w:rPr>
          <w:rFonts w:ascii="Times New Roman" w:eastAsia="宋体" w:hAnsi="Times New Roman"/>
          <w:b w:val="false"/>
          <w:bCs w:val="false"/>
          <w:color w:val="000000"/>
          <w:sz w:val="21"/>
          <w:szCs w:val="21"/>
        </w:rPr>
        <w:t xml:space="preserve">。</w:t>
      </w:r>
      <w:r>
        <w:rPr>
          <w:rFonts w:ascii="Times New Roman" w:eastAsia="宋体" w:hAnsi="Times New Roman"/>
          <w:b/>
          <w:bCs/>
          <w:color w:val="000000"/>
          <w:sz w:val="21"/>
          <w:szCs w:val="21"/>
        </w:rPr>
        <w:t xml:space="preserve">本次采购设备的所有权自最终验收合格之日起归院方所有。</w:t>
      </w:r>
    </w:p>
    <w:p>
      <w:pPr>
        <w:spacing w:after="100" w:line="380"/>
        <w:ind w:left="0" w:firstLine="420"/>
        <w:jc w:val="both"/>
      </w:pPr>
      <w:r>
        <w:rPr>
          <w:rFonts w:ascii="Times New Roman" w:eastAsia="宋体" w:hAnsi="Times New Roman"/>
          <w:b w:val="false"/>
          <w:bCs w:val="false"/>
          <w:color w:val="000000"/>
          <w:sz w:val="21"/>
          <w:szCs w:val="21"/>
        </w:rPr>
        <w:t xml:space="preserve">（五）</w:t>
      </w:r>
      <w:r>
        <w:rPr>
          <w:rFonts w:ascii="Times New Roman" w:eastAsia="宋体" w:hAnsi="Times New Roman"/>
          <w:b/>
          <w:bCs/>
          <w:color w:val="000000"/>
          <w:sz w:val="21"/>
          <w:szCs w:val="21"/>
        </w:rPr>
        <w:t xml:space="preserve">移机服务</w:t>
      </w:r>
      <w:r>
        <w:rPr>
          <w:rFonts w:ascii="Times New Roman" w:eastAsia="宋体" w:hAnsi="Times New Roman"/>
          <w:b w:val="false"/>
          <w:bCs w:val="false"/>
          <w:color w:val="000000"/>
          <w:sz w:val="21"/>
          <w:szCs w:val="21"/>
        </w:rPr>
        <w:t xml:space="preserve">。服务期内因院方场地调整需要移机的，投标人须</w:t>
      </w:r>
      <w:r>
        <w:rPr>
          <w:rFonts w:ascii="Times New Roman" w:eastAsia="宋体" w:hAnsi="Times New Roman"/>
          <w:b/>
          <w:bCs/>
          <w:color w:val="000000"/>
          <w:sz w:val="21"/>
          <w:szCs w:val="21"/>
        </w:rPr>
        <w:t xml:space="preserve">单独报出移机服务价格</w:t>
      </w:r>
      <w:r>
        <w:rPr>
          <w:rFonts w:ascii="Times New Roman" w:eastAsia="宋体" w:hAnsi="Times New Roman"/>
          <w:b w:val="false"/>
          <w:bCs w:val="false"/>
          <w:color w:val="000000"/>
          <w:sz w:val="21"/>
          <w:szCs w:val="21"/>
        </w:rPr>
        <w:t xml:space="preserve">，作为可选报价项单独列示，不计入评标价，中标后由院方按实际需要决定是否实施；移机不影响原质保期的连续计算。</w:t>
      </w:r>
    </w:p>
    <w:p>
      <w:pPr>
        <w:spacing w:after="100" w:line="380"/>
        <w:ind w:left="0" w:firstLine="420"/>
        <w:jc w:val="both"/>
      </w:pPr>
      <w:r>
        <w:rPr>
          <w:rFonts w:ascii="Times New Roman" w:eastAsia="宋体" w:hAnsi="Times New Roman"/>
          <w:b w:val="false"/>
          <w:bCs w:val="false"/>
          <w:color w:val="000000"/>
          <w:sz w:val="21"/>
          <w:szCs w:val="21"/>
        </w:rPr>
        <w:t xml:space="preserve">（六）</w:t>
      </w:r>
      <w:r>
        <w:rPr>
          <w:rFonts w:ascii="Times New Roman" w:eastAsia="宋体" w:hAnsi="Times New Roman"/>
          <w:b/>
          <w:bCs/>
          <w:color w:val="000000"/>
          <w:sz w:val="21"/>
          <w:szCs w:val="21"/>
        </w:rPr>
        <w:t xml:space="preserve">数据安全</w:t>
      </w:r>
      <w:r>
        <w:rPr>
          <w:rFonts w:ascii="Times New Roman" w:eastAsia="宋体" w:hAnsi="Times New Roman"/>
          <w:b w:val="false"/>
          <w:bCs w:val="false"/>
          <w:color w:val="000000"/>
          <w:sz w:val="21"/>
          <w:szCs w:val="21"/>
        </w:rPr>
        <w:t xml:space="preserve">。本平台产生的检测数据归院方所有。分析解读软硬件应支持院内本地化部署，</w:t>
      </w:r>
      <w:r>
        <w:rPr>
          <w:rFonts w:ascii="Times New Roman" w:eastAsia="宋体" w:hAnsi="Times New Roman"/>
          <w:b/>
          <w:bCs/>
          <w:color w:val="000000"/>
          <w:sz w:val="21"/>
          <w:szCs w:val="21"/>
        </w:rPr>
        <w:t xml:space="preserve">检测数据应存储于院内，不得上传至院外，不得出境</w:t>
      </w:r>
      <w:r>
        <w:rPr>
          <w:rFonts w:ascii="Times New Roman" w:eastAsia="宋体" w:hAnsi="Times New Roman"/>
          <w:b w:val="false"/>
          <w:bCs w:val="false"/>
          <w:color w:val="000000"/>
          <w:sz w:val="21"/>
          <w:szCs w:val="21"/>
        </w:rPr>
        <w:t xml:space="preserve">；涉及人类遗传资源的活动，应符合《中华人民共和国人类遗传资源管理条例》及其实施细则的规定。</w:t>
      </w:r>
    </w:p>
    <w:p>
      <w:pPr>
        <w:keepNext/>
        <w:spacing w:after="140" w:before="320" w:line="380"/>
      </w:pPr>
      <w:r>
        <w:rPr>
          <w:rFonts w:ascii="Arial" w:eastAsia="黑体" w:hAnsi="Arial"/>
          <w:b/>
          <w:bCs/>
          <w:color w:val="000000"/>
          <w:sz w:val="25"/>
          <w:szCs w:val="25"/>
        </w:rPr>
        <w:t xml:space="preserve">七、投标人资格与合规要求</w:t>
      </w:r>
    </w:p>
    <w:p>
      <w:pPr>
        <w:spacing w:after="100" w:line="380"/>
        <w:ind w:left="0" w:firstLine="420"/>
        <w:jc w:val="both"/>
      </w:pPr>
      <w:r>
        <w:rPr>
          <w:rFonts w:ascii="Times New Roman" w:eastAsia="宋体" w:hAnsi="Times New Roman"/>
          <w:b w:val="false"/>
          <w:bCs w:val="false"/>
          <w:color w:val="000000"/>
          <w:sz w:val="21"/>
          <w:szCs w:val="21"/>
        </w:rPr>
        <w:t xml:space="preserve">（一）</w:t>
      </w:r>
      <w:r>
        <w:rPr>
          <w:rFonts w:ascii="Times New Roman" w:eastAsia="宋体" w:hAnsi="Times New Roman"/>
          <w:b/>
          <w:bCs/>
          <w:color w:val="000000"/>
          <w:sz w:val="21"/>
          <w:szCs w:val="21"/>
        </w:rPr>
        <w:t xml:space="preserve">资格要求</w:t>
      </w:r>
      <w:r>
        <w:rPr>
          <w:rFonts w:ascii="Times New Roman" w:eastAsia="宋体" w:hAnsi="Times New Roman"/>
          <w:b w:val="false"/>
          <w:bCs w:val="false"/>
          <w:color w:val="000000"/>
          <w:sz w:val="21"/>
          <w:szCs w:val="21"/>
        </w:rPr>
        <w:t xml:space="preserve">。投标人应具备下列条件：</w:t>
      </w:r>
    </w:p>
    <w:p>
      <w:pPr>
        <w:spacing w:after="100" w:line="380"/>
        <w:ind w:left="420" w:firstLine="420"/>
        <w:jc w:val="both"/>
      </w:pPr>
      <w:r>
        <w:rPr>
          <w:rFonts w:ascii="Times New Roman" w:eastAsia="宋体" w:hAnsi="Times New Roman"/>
          <w:b w:val="false"/>
          <w:bCs w:val="false"/>
          <w:color w:val="000000"/>
          <w:sz w:val="21"/>
          <w:szCs w:val="21"/>
        </w:rPr>
        <w:t xml:space="preserve">1. 具有独立法人资格，具备有效的营业执照；</w:t>
      </w:r>
    </w:p>
    <w:p>
      <w:pPr>
        <w:spacing w:after="100" w:line="380"/>
        <w:ind w:left="420" w:firstLine="420"/>
        <w:jc w:val="both"/>
      </w:pPr>
      <w:r>
        <w:rPr>
          <w:rFonts w:ascii="Times New Roman" w:eastAsia="宋体" w:hAnsi="Times New Roman"/>
          <w:b w:val="false"/>
          <w:bCs w:val="false"/>
          <w:color w:val="000000"/>
          <w:sz w:val="21"/>
          <w:szCs w:val="21"/>
        </w:rPr>
        <w:t xml:space="preserve">2. 具备《医疗器械经营许可证》或第二类医疗器械经营备案凭证，经营范围覆盖所投产品类别；</w:t>
      </w:r>
    </w:p>
    <w:p>
      <w:pPr>
        <w:spacing w:after="100" w:line="380"/>
        <w:ind w:left="420" w:firstLine="420"/>
        <w:jc w:val="both"/>
      </w:pPr>
      <w:r>
        <w:rPr>
          <w:rFonts w:ascii="Times New Roman" w:eastAsia="宋体" w:hAnsi="Times New Roman"/>
          <w:b w:val="false"/>
          <w:bCs w:val="false"/>
          <w:color w:val="000000"/>
          <w:sz w:val="21"/>
          <w:szCs w:val="21"/>
        </w:rPr>
        <w:t xml:space="preserve">3. 取得所投产品制造商针对本项目的授权文件；</w:t>
      </w:r>
    </w:p>
    <w:p>
      <w:pPr>
        <w:spacing w:after="100" w:line="380"/>
        <w:ind w:left="420" w:firstLine="420"/>
        <w:jc w:val="both"/>
      </w:pPr>
      <w:r>
        <w:rPr>
          <w:rFonts w:ascii="Times New Roman" w:eastAsia="宋体" w:hAnsi="Times New Roman"/>
          <w:b w:val="false"/>
          <w:bCs w:val="false"/>
          <w:color w:val="000000"/>
          <w:sz w:val="21"/>
          <w:szCs w:val="21"/>
        </w:rPr>
        <w:t xml:space="preserve">4. 具有同类临床基因测序平台的供货与服务业绩，并能提供相应合同或验收证明；</w:t>
      </w:r>
    </w:p>
    <w:p>
      <w:pPr>
        <w:spacing w:after="100" w:line="380"/>
        <w:ind w:left="420" w:firstLine="420"/>
        <w:jc w:val="both"/>
      </w:pPr>
      <w:r>
        <w:rPr>
          <w:rFonts w:ascii="Times New Roman" w:eastAsia="宋体" w:hAnsi="Times New Roman"/>
          <w:b w:val="false"/>
          <w:bCs w:val="false"/>
          <w:color w:val="000000"/>
          <w:sz w:val="21"/>
          <w:szCs w:val="21"/>
        </w:rPr>
        <w:t xml:space="preserve">5. 具备境内的技术服务与备件供应体系，能够保障服务期内设备维保与试剂供应的连续性。</w:t>
      </w:r>
    </w:p>
    <w:p>
      <w:pPr>
        <w:spacing w:after="100" w:line="380"/>
        <w:ind w:left="0" w:firstLine="420"/>
        <w:jc w:val="both"/>
      </w:pPr>
      <w:r>
        <w:rPr>
          <w:rFonts w:ascii="Times New Roman" w:eastAsia="宋体" w:hAnsi="Times New Roman"/>
          <w:b w:val="false"/>
          <w:bCs w:val="false"/>
          <w:color w:val="000000"/>
          <w:sz w:val="21"/>
          <w:szCs w:val="21"/>
        </w:rPr>
        <w:t xml:space="preserve">（二）</w:t>
      </w:r>
      <w:r>
        <w:rPr>
          <w:rFonts w:ascii="Times New Roman" w:eastAsia="宋体" w:hAnsi="Times New Roman"/>
          <w:b/>
          <w:bCs/>
          <w:color w:val="000000"/>
          <w:sz w:val="21"/>
          <w:szCs w:val="21"/>
        </w:rPr>
        <w:t xml:space="preserve">廉洁承诺</w:t>
      </w:r>
      <w:r>
        <w:rPr>
          <w:rFonts w:ascii="Times New Roman" w:eastAsia="宋体" w:hAnsi="Times New Roman"/>
          <w:b w:val="false"/>
          <w:bCs w:val="false"/>
          <w:color w:val="000000"/>
          <w:sz w:val="21"/>
          <w:szCs w:val="21"/>
        </w:rPr>
        <w:t xml:space="preserve">。投标人应出具书面承诺：不以捐赠资助、科研合作、学术会议、外出考察等任何名义，向院方工作人员输送利益或提供与本项目采购相挂钩的资源。</w:t>
      </w:r>
    </w:p>
    <w:p>
      <w:pPr>
        <w:spacing w:after="100" w:line="380"/>
        <w:ind w:left="0" w:firstLine="420"/>
        <w:jc w:val="both"/>
      </w:pPr>
      <w:r>
        <w:rPr>
          <w:rFonts w:ascii="Times New Roman" w:eastAsia="宋体" w:hAnsi="Times New Roman"/>
          <w:b w:val="false"/>
          <w:bCs w:val="false"/>
          <w:color w:val="000000"/>
          <w:sz w:val="21"/>
          <w:szCs w:val="21"/>
        </w:rPr>
        <w:t xml:space="preserve">（三）</w:t>
      </w:r>
      <w:r>
        <w:rPr>
          <w:rFonts w:ascii="Times New Roman" w:eastAsia="宋体" w:hAnsi="Times New Roman"/>
          <w:b/>
          <w:bCs/>
          <w:color w:val="000000"/>
          <w:sz w:val="21"/>
          <w:szCs w:val="21"/>
        </w:rPr>
        <w:t xml:space="preserve">其他</w:t>
      </w:r>
      <w:r>
        <w:rPr>
          <w:rFonts w:ascii="Times New Roman" w:eastAsia="宋体" w:hAnsi="Times New Roman"/>
          <w:b w:val="false"/>
          <w:bCs w:val="false"/>
          <w:color w:val="000000"/>
          <w:sz w:val="21"/>
          <w:szCs w:val="21"/>
        </w:rPr>
        <w:t xml:space="preserve">。本文件为采购需求，未尽事宜以招标文件其他章节及采购合同约定为准。</w:t>
      </w:r>
    </w:p>
    <w:p>
      <w:pPr>
        <w:keepNext/>
        <w:spacing w:after="140" w:before="320" w:line="380"/>
      </w:pPr>
      <w:r>
        <w:rPr>
          <w:rFonts w:ascii="Arial" w:eastAsia="黑体" w:hAnsi="Arial"/>
          <w:b/>
          <w:bCs/>
          <w:color w:val="000000"/>
          <w:sz w:val="25"/>
          <w:szCs w:val="25"/>
        </w:rPr>
        <w:t xml:space="preserve">附件一　配套设备与器具清单</w:t>
      </w:r>
    </w:p>
    <w:p>
      <w:pPr>
        <w:spacing w:after="100" w:line="380"/>
        <w:ind w:left="0" w:firstLine="420"/>
        <w:jc w:val="both"/>
      </w:pPr>
      <w:r>
        <w:rPr>
          <w:rFonts w:ascii="Times New Roman" w:eastAsia="宋体" w:hAnsi="Times New Roman"/>
          <w:b w:val="false"/>
          <w:bCs w:val="false"/>
          <w:color w:val="000000"/>
          <w:sz w:val="21"/>
          <w:szCs w:val="21"/>
        </w:rPr>
        <w:t xml:space="preserve">本清单按功能分区列明，共 59 项，</w:t>
      </w:r>
      <w:r>
        <w:rPr>
          <w:rFonts w:ascii="Times New Roman" w:eastAsia="宋体" w:hAnsi="Times New Roman"/>
          <w:b/>
          <w:bCs/>
          <w:color w:val="000000"/>
          <w:sz w:val="21"/>
          <w:szCs w:val="21"/>
        </w:rPr>
        <w:t xml:space="preserve">由中标人全部供应</w:t>
      </w:r>
      <w:r>
        <w:rPr>
          <w:rFonts w:ascii="Times New Roman" w:eastAsia="宋体" w:hAnsi="Times New Roman"/>
          <w:b w:val="false"/>
          <w:bCs w:val="false"/>
          <w:color w:val="000000"/>
          <w:sz w:val="21"/>
          <w:szCs w:val="21"/>
        </w:rPr>
        <w:t xml:space="preserve">。清单以设备通用名称与技术参数描述需求，不指定品牌与型号。基因测序仪的要求见正文第二部分。</w:t>
      </w:r>
    </w:p>
    <w:p>
      <w:pPr>
        <w:keepNext/>
        <w:spacing w:after="80" w:before="140"/>
      </w:pPr>
      <w:r>
        <w:rPr>
          <w:rFonts w:ascii="Arial" w:eastAsia="黑体" w:hAnsi="Arial"/>
          <w:b/>
          <w:bCs/>
          <w:color w:val="000000"/>
          <w:sz w:val="20"/>
          <w:szCs w:val="20"/>
        </w:rPr>
        <w:t xml:space="preserve">附表 1　配套设备与器具清单</w:t>
      </w:r>
    </w:p>
    <w:tbl>
      <w:tblPr>
        <w:tblW w:type="dxa" w:w="9860"/>
        <w:tblBorders>
          <w:top w:val="none" w:color="FFFFFF" w:sz="0"/>
          <w:left w:val="none" w:color="FFFFFF" w:sz="0"/>
          <w:bottom w:val="none" w:color="FFFFFF" w:sz="0"/>
          <w:right w:val="none" w:color="FFFFFF" w:sz="0"/>
          <w:insideH w:val="none" w:color="FFFFFF" w:sz="0"/>
          <w:insideV w:val="none" w:color="FFFFFF" w:sz="0"/>
        </w:tblBorders>
      </w:tblPr>
      <w:tblGrid>
        <w:gridCol w:w="2400"/>
        <w:gridCol w:w="6660"/>
        <w:gridCol w:w="800"/>
      </w:tblGrid>
      <w:tr>
        <w:trPr>
          <w:tblHeader/>
        </w:trPr>
        <w:tc>
          <w:tcPr>
            <w:tcW w:type="dxa" w:w="24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设备名称</w:t>
            </w:r>
          </w:p>
        </w:tc>
        <w:tc>
          <w:tcPr>
            <w:tcW w:type="dxa" w:w="666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技术参数要求</w:t>
            </w:r>
          </w:p>
        </w:tc>
        <w:tc>
          <w:tcPr>
            <w:tcW w:type="dxa" w:w="8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数量</w:t>
            </w:r>
          </w:p>
        </w:tc>
      </w:tr>
      <w:tr>
        <w:tc>
          <w:tcPr>
            <w:tcW w:type="dxa" w:w="9860"/>
            <w:gridSpan w:val="3"/>
            <w:tcBorders>
              <w:top w:val="none" w:color="FFFFFF" w:sz="0"/>
              <w:left w:val="none" w:color="FFFFFF" w:sz="0"/>
              <w:bottom w:val="single" w:color="BFBFBF" w:sz="2"/>
              <w:right w:val="none" w:color="FFFFFF" w:sz="0"/>
            </w:tcBorders>
            <w:shd w:fill="F0F0F0" w:color="auto" w:val="clear"/>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试剂准备区</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超净工作台</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ACB-1300V/双人;垂直单流向</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纯水仪</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电导率18.2MΩ</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冷藏冷冻箱</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2-8℃&amp;-20℃</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计时器</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量程覆盖常规孵育时长，具备定时提醒</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温湿度计</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可显示环境温湿度，具备最值记录</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漩涡振荡器</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转速可调，支持点动与连续两种模式</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掌式离心机</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适配 1.5 mL 离心管与八排管，两种转子</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单道移液器</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量程分档覆盖 0.1–1000 µL，精度符合 GB/T 39374；分档：0.1-2.0µl、0.5-10µl、2-20µl、10-100µl、20-200µl、100-1000µl</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6</w:t>
            </w:r>
          </w:p>
        </w:tc>
      </w:tr>
      <w:tr>
        <w:tc>
          <w:tcPr>
            <w:tcW w:type="dxa" w:w="9860"/>
            <w:gridSpan w:val="3"/>
            <w:tcBorders>
              <w:top w:val="none" w:color="FFFFFF" w:sz="0"/>
              <w:left w:val="none" w:color="FFFFFF" w:sz="0"/>
              <w:bottom w:val="single" w:color="BFBFBF" w:sz="2"/>
              <w:right w:val="none" w:color="FFFFFF" w:sz="0"/>
            </w:tcBorders>
            <w:shd w:fill="F0F0F0" w:color="auto" w:val="clear"/>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标本与文库制备区</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冷藏冷冻箱</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2-8℃&amp;-20℃</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计时器</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量程覆盖常规孵育时长，具备定时提醒</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温湿度计</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可显示环境温湿度，具备最值记录</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漩涡振荡器</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转速可调，支持点动与连续两种模式</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掌式离心机</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适配 1.5 mL 离心管与八排管，两种转子</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PCR扩增仪</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≥96 孔，具备梯度扩增功能</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高速离心机</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1.5ml转子</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磁力架</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16头；16孔(凹）;离心管用</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96孔磁力架（八排管）</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八排管</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生物安全柜（A2型）</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二级，1500*815*2270mm</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恒温混匀仪</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96孔+1.5模块</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单道移液器</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量程分档覆盖 0.1–1000 µL，精度符合 GB/T 39374；分档：0.1-2.0µl、0.5-10µl、2-20µl、10-100µl、20-200µl、100-1000µl</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6</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八道移液器</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八通道，与八连管、96 孔板配套；分档：0.5-10 µl、5-50 µl、30-300 µl</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3</w:t>
            </w:r>
          </w:p>
        </w:tc>
      </w:tr>
      <w:tr>
        <w:tc>
          <w:tcPr>
            <w:tcW w:type="dxa" w:w="9860"/>
            <w:gridSpan w:val="3"/>
            <w:tcBorders>
              <w:top w:val="none" w:color="FFFFFF" w:sz="0"/>
              <w:left w:val="none" w:color="FFFFFF" w:sz="0"/>
              <w:bottom w:val="single" w:color="BFBFBF" w:sz="2"/>
              <w:right w:val="none" w:color="FFFFFF" w:sz="0"/>
            </w:tcBorders>
            <w:shd w:fill="F0F0F0" w:color="auto" w:val="clear"/>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血浆文库制备区</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冷藏冷冻箱</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2-8℃&amp;-20℃</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计时器</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量程覆盖常规孵育时长，具备定时提醒</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温湿度计</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可显示环境温湿度，具备最值记录</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漩涡振荡器</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转速可调，支持点动与连续两种模式</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掌式离心机</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适配 1.5 mL 离心管与八排管，两种转子</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PCR扩增仪</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≥96 孔，具备梯度扩增功能</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高速离心机</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1.5ml转子</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磁力架</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16头；16孔(凹）;离心管用</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96孔磁力架（八排管）</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八排管</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生物安全柜（A2型）</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二级，1500*815*2270mm</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恒温混匀仪</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96孔+1.5模块</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单道移液器</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量程分档覆盖 0.1–1000 µL，精度符合 GB/T 39374；分档：0.1-2.0µl、0.5-10µl、2-20µl、10-100µl、20-200µl、100-1000µl</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6</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八道移液器</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八通道，与八连管、96 孔板配套；分档：0.5-10 µl、5-50 µl、30-300 µl</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3</w:t>
            </w:r>
          </w:p>
        </w:tc>
      </w:tr>
      <w:tr>
        <w:tc>
          <w:tcPr>
            <w:tcW w:type="dxa" w:w="9860"/>
            <w:gridSpan w:val="3"/>
            <w:tcBorders>
              <w:top w:val="none" w:color="FFFFFF" w:sz="0"/>
              <w:left w:val="none" w:color="FFFFFF" w:sz="0"/>
              <w:bottom w:val="single" w:color="BFBFBF" w:sz="2"/>
              <w:right w:val="none" w:color="FFFFFF" w:sz="0"/>
            </w:tcBorders>
            <w:shd w:fill="F0F0F0" w:color="auto" w:val="clear"/>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杂交捕获区</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冷藏冷冻箱</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2-8℃&amp;-20℃</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计时器</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量程覆盖常规孵育时长，具备定时提醒</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温湿度计</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可显示环境温湿度，具备最值记录</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漩涡振荡器</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转速可调，支持点动与连续两种模式</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掌式离心机</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适配 1.5 mL 离心管与八排管，两种转子</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PCR扩增仪</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≥96 孔，具备梯度扩增功能</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垂直混匀仪</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满足常规分子实验操作要求</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高速离心机</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1.5ml转子</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磁力架</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16头；16孔(凹）;离心管用</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96孔磁力架（八排管）</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八排管</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恒温混匀仪</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96孔+1.5模块</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荧光定量仪</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满足常规分子实验操作要求</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单道移液器</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量程分档覆盖 0.1–1000 µL，精度符合 GB/T 39374；分档：0.1-2.0µl、0.5-10µl、2-20µl、10-100µl、20-200µl、100-1000µl</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6</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八道移液器</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八通道，与八连管、96 孔板配套；分档：0.5-10 µl、5-50 µl、30-300 µl</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3</w:t>
            </w:r>
          </w:p>
        </w:tc>
      </w:tr>
      <w:tr>
        <w:tc>
          <w:tcPr>
            <w:tcW w:type="dxa" w:w="9860"/>
            <w:gridSpan w:val="3"/>
            <w:tcBorders>
              <w:top w:val="none" w:color="FFFFFF" w:sz="0"/>
              <w:left w:val="none" w:color="FFFFFF" w:sz="0"/>
              <w:bottom w:val="single" w:color="BFBFBF" w:sz="2"/>
              <w:right w:val="none" w:color="FFFFFF" w:sz="0"/>
            </w:tcBorders>
            <w:shd w:fill="F0F0F0" w:color="auto" w:val="clear"/>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文库扩增与检测区</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冷藏冷冻箱</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2-8℃&amp;-20℃</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计时器</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量程覆盖常规孵育时长，具备定时提醒</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温湿度计</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可显示环境温湿度，具备最值记录</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漩涡振荡器</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转速可调，支持点动与连续两种模式</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掌式离心机</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适配 1.5 mL 离心管与八排管，两种转子</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PCR扩增仪</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≥96 孔，具备梯度扩增功能</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荧光定量仪</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满足常规分子实验操作要求</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全自动毛细管电泳仪</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满足常规分子实验操作要求</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单道移液器</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量程分档覆盖 0.1–1000 µL，精度符合 GB/T 39374；分档：0.1-2.0µl、0.5-10µl、2-20µl、10-100µl、20-200µl、100-1000µl</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6</w:t>
            </w:r>
          </w:p>
        </w:tc>
      </w:tr>
      <w:tr>
        <w:tc>
          <w:tcPr>
            <w:tcW w:type="dxa" w:w="9860"/>
            <w:gridSpan w:val="3"/>
            <w:tcBorders>
              <w:top w:val="none" w:color="FFFFFF" w:sz="0"/>
              <w:left w:val="none" w:color="FFFFFF" w:sz="0"/>
              <w:bottom w:val="single" w:color="BFBFBF" w:sz="2"/>
              <w:right w:val="none" w:color="FFFFFF" w:sz="0"/>
            </w:tcBorders>
            <w:shd w:fill="F0F0F0" w:color="auto" w:val="clear"/>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测序区</w:t>
            </w:r>
          </w:p>
        </w:tc>
      </w:tr>
      <w:tr>
        <w:tc>
          <w:tcPr>
            <w:tcW w:type="dxa" w:w="24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抽湿机</w:t>
            </w:r>
          </w:p>
        </w:tc>
        <w:tc>
          <w:tcPr>
            <w:tcW w:type="dxa" w:w="66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根据实验室实际情况来进行配置</w:t>
            </w:r>
          </w:p>
        </w:tc>
        <w:tc>
          <w:tcPr>
            <w:tcW w:type="dxa" w:w="8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r>
        <w:tc>
          <w:tcPr>
            <w:tcW w:type="dxa" w:w="24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分析解读一体机</w:t>
            </w:r>
          </w:p>
        </w:tc>
        <w:tc>
          <w:tcPr>
            <w:tcW w:type="dxa" w:w="666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分析解读服务器或一体机，支持院内本地化部署，与所投试剂盒配套的生物信息分析与报告解读</w:t>
            </w:r>
          </w:p>
        </w:tc>
        <w:tc>
          <w:tcPr>
            <w:tcW w:type="dxa" w:w="8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r>
    </w:tbl>
    <w:p>
      <w:pPr>
        <w:keepNext/>
        <w:spacing w:after="140" w:before="320" w:line="380"/>
      </w:pPr>
      <w:r>
        <w:rPr>
          <w:rFonts w:ascii="Arial" w:eastAsia="黑体" w:hAnsi="Arial"/>
          <w:b/>
          <w:bCs/>
          <w:color w:val="000000"/>
          <w:sz w:val="25"/>
          <w:szCs w:val="25"/>
        </w:rPr>
        <w:t xml:space="preserve">附件二　拟开展检测项目</w:t>
      </w:r>
    </w:p>
    <w:p>
      <w:pPr>
        <w:spacing w:after="100" w:line="380"/>
        <w:ind w:left="0" w:firstLine="420"/>
        <w:jc w:val="both"/>
      </w:pPr>
      <w:r>
        <w:rPr>
          <w:rFonts w:ascii="Times New Roman" w:eastAsia="宋体" w:hAnsi="Times New Roman"/>
          <w:b w:val="false"/>
          <w:bCs w:val="false"/>
          <w:color w:val="000000"/>
          <w:sz w:val="21"/>
          <w:szCs w:val="21"/>
        </w:rPr>
        <w:t xml:space="preserve">本平台首批拟开展下列癌种的检测项目。每一癌种可包含多个检测项目及多个试剂盒，具体清单由投标人在投标文件中逐项列明，并须符合正文第四部分的注册合规与性能验证要求。</w:t>
      </w:r>
    </w:p>
    <w:p>
      <w:pPr>
        <w:keepNext/>
        <w:spacing w:after="80" w:before="140"/>
      </w:pPr>
      <w:r>
        <w:rPr>
          <w:rFonts w:ascii="Arial" w:eastAsia="黑体" w:hAnsi="Arial"/>
          <w:b/>
          <w:bCs/>
          <w:color w:val="000000"/>
          <w:sz w:val="20"/>
          <w:szCs w:val="20"/>
        </w:rPr>
        <w:t xml:space="preserve">附表 2　首批拟开展检测项目</w:t>
      </w:r>
    </w:p>
    <w:tbl>
      <w:tblPr>
        <w:tblW w:type="dxa" w:w="9860"/>
        <w:tblBorders>
          <w:top w:val="none" w:color="FFFFFF" w:sz="0"/>
          <w:left w:val="none" w:color="FFFFFF" w:sz="0"/>
          <w:bottom w:val="none" w:color="FFFFFF" w:sz="0"/>
          <w:right w:val="none" w:color="FFFFFF" w:sz="0"/>
          <w:insideH w:val="none" w:color="FFFFFF" w:sz="0"/>
          <w:insideV w:val="none" w:color="FFFFFF" w:sz="0"/>
        </w:tblBorders>
      </w:tblPr>
      <w:tblGrid>
        <w:gridCol w:w="700"/>
        <w:gridCol w:w="2000"/>
        <w:gridCol w:w="7160"/>
      </w:tblGrid>
      <w:tr>
        <w:trPr>
          <w:tblHeader/>
        </w:trPr>
        <w:tc>
          <w:tcPr>
            <w:tcW w:type="dxa" w:w="7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序号</w:t>
            </w:r>
          </w:p>
        </w:tc>
        <w:tc>
          <w:tcPr>
            <w:tcW w:type="dxa" w:w="200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癌种</w:t>
            </w:r>
          </w:p>
        </w:tc>
        <w:tc>
          <w:tcPr>
            <w:tcW w:type="dxa" w:w="7160"/>
            <w:tcBorders>
              <w:top w:val="single" w:color="000000" w:sz="12"/>
              <w:left w:val="none" w:color="FFFFFF" w:sz="0"/>
              <w:bottom w:val="single" w:color="000000" w:sz="6"/>
              <w:right w:val="none" w:color="FFFFFF" w:sz="0"/>
            </w:tcBorders>
            <w:tcMar>
              <w:top w:type="dxa" w:w="60"/>
              <w:left w:type="dxa" w:w="90"/>
              <w:bottom w:type="dxa" w:w="60"/>
              <w:right w:type="dxa" w:w="90"/>
            </w:tcMar>
            <w:vAlign w:val="top"/>
          </w:tcPr>
          <w:p>
            <w:pPr>
              <w:spacing w:line="280"/>
              <w:jc w:val="left"/>
            </w:pPr>
            <w:r>
              <w:rPr>
                <w:rFonts w:ascii="Arial" w:eastAsia="黑体" w:hAnsi="Arial"/>
                <w:b/>
                <w:bCs/>
                <w:color w:val="000000"/>
                <w:sz w:val="18"/>
                <w:szCs w:val="18"/>
              </w:rPr>
              <w:t xml:space="preserve">核心检测基因与变异类型（最低要求）</w:t>
            </w:r>
          </w:p>
        </w:tc>
      </w:tr>
      <w:tr>
        <w:tc>
          <w:tcPr>
            <w:tcW w:type="dxa" w:w="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1</w:t>
            </w:r>
          </w:p>
        </w:tc>
        <w:tc>
          <w:tcPr>
            <w:tcW w:type="dxa" w:w="20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非小细胞肺癌</w:t>
            </w:r>
          </w:p>
        </w:tc>
        <w:tc>
          <w:tcPr>
            <w:tcW w:type="dxa" w:w="71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EGFR、ALK、ROS1 等基因的点突变、插入缺失与基因融合。</w:t>
            </w:r>
          </w:p>
        </w:tc>
      </w:tr>
      <w:tr>
        <w:tc>
          <w:tcPr>
            <w:tcW w:type="dxa" w:w="7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2</w:t>
            </w:r>
          </w:p>
        </w:tc>
        <w:tc>
          <w:tcPr>
            <w:tcW w:type="dxa" w:w="200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结直肠癌</w:t>
            </w:r>
          </w:p>
        </w:tc>
        <w:tc>
          <w:tcPr>
            <w:tcW w:type="dxa" w:w="7160"/>
            <w:tcBorders>
              <w:top w:val="none" w:color="FFFFFF" w:sz="0"/>
              <w:left w:val="none" w:color="FFFFFF" w:sz="0"/>
              <w:bottom w:val="single" w:color="BFBFBF" w:sz="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KRAS、NRAS、BRAF 等基因的点突变与插入缺失。</w:t>
            </w:r>
          </w:p>
        </w:tc>
      </w:tr>
      <w:tr>
        <w:tc>
          <w:tcPr>
            <w:tcW w:type="dxa" w:w="7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center"/>
            </w:pPr>
            <w:r>
              <w:rPr>
                <w:rFonts w:ascii="Times New Roman" w:eastAsia="宋体" w:hAnsi="Times New Roman"/>
                <w:b w:val="false"/>
                <w:bCs w:val="false"/>
                <w:color w:val="000000"/>
                <w:sz w:val="18"/>
                <w:szCs w:val="18"/>
              </w:rPr>
              <w:t xml:space="preserve">3</w:t>
            </w:r>
          </w:p>
        </w:tc>
        <w:tc>
          <w:tcPr>
            <w:tcW w:type="dxa" w:w="200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乳腺癌</w:t>
            </w:r>
          </w:p>
        </w:tc>
        <w:tc>
          <w:tcPr>
            <w:tcW w:type="dxa" w:w="7160"/>
            <w:tcBorders>
              <w:top w:val="none" w:color="FFFFFF" w:sz="0"/>
              <w:left w:val="none" w:color="FFFFFF" w:sz="0"/>
              <w:bottom w:val="single" w:color="000000" w:sz="12"/>
              <w:right w:val="none" w:color="FFFFFF" w:sz="0"/>
            </w:tcBorders>
            <w:tcMar>
              <w:top w:type="dxa" w:w="60"/>
              <w:left w:type="dxa" w:w="90"/>
              <w:bottom w:type="dxa" w:w="60"/>
              <w:right w:type="dxa" w:w="90"/>
            </w:tcMar>
            <w:vAlign w:val="top"/>
          </w:tcPr>
          <w:p>
            <w:pPr>
              <w:spacing w:line="280"/>
              <w:jc w:val="left"/>
            </w:pPr>
            <w:r>
              <w:rPr>
                <w:rFonts w:ascii="Times New Roman" w:eastAsia="宋体" w:hAnsi="Times New Roman"/>
                <w:b w:val="false"/>
                <w:bCs w:val="false"/>
                <w:color w:val="000000"/>
                <w:sz w:val="18"/>
                <w:szCs w:val="18"/>
              </w:rPr>
              <w:t xml:space="preserve">BRCA1／BRCA2、PIK3CA 等基因的点突变与插入缺失。</w:t>
            </w:r>
          </w:p>
        </w:tc>
      </w:tr>
    </w:tbl>
    <w:p>
      <w:pPr>
        <w:spacing w:after="120" w:before="90" w:line="320"/>
        <w:ind w:firstLine="380"/>
        <w:jc w:val="both"/>
      </w:pPr>
      <w:r>
        <w:rPr>
          <w:rFonts w:ascii="Times New Roman" w:eastAsia="宋体" w:hAnsi="Times New Roman"/>
          <w:b w:val="false"/>
          <w:bCs w:val="false"/>
          <w:color w:val="000000"/>
          <w:sz w:val="19"/>
          <w:szCs w:val="19"/>
        </w:rPr>
        <w:t xml:space="preserve">注：上列为各癌种的</w:t>
      </w:r>
      <w:r>
        <w:rPr>
          <w:rFonts w:ascii="Times New Roman" w:eastAsia="宋体" w:hAnsi="Times New Roman"/>
          <w:b/>
          <w:bCs/>
          <w:color w:val="000000"/>
          <w:sz w:val="19"/>
          <w:szCs w:val="19"/>
        </w:rPr>
        <w:t xml:space="preserve">核心检测基因，属最低检测范围要求</w:t>
      </w:r>
      <w:r>
        <w:rPr>
          <w:rFonts w:ascii="Times New Roman" w:eastAsia="宋体" w:hAnsi="Times New Roman"/>
          <w:b w:val="false"/>
          <w:bCs w:val="false"/>
          <w:color w:val="000000"/>
          <w:sz w:val="19"/>
          <w:szCs w:val="19"/>
        </w:rPr>
        <w:t xml:space="preserve">。投标产品的检测范围可宽于上列内容，</w:t>
      </w:r>
      <w:r>
        <w:rPr>
          <w:rFonts w:ascii="Times New Roman" w:eastAsia="宋体" w:hAnsi="Times New Roman"/>
          <w:b/>
          <w:bCs/>
          <w:color w:val="000000"/>
          <w:sz w:val="19"/>
          <w:szCs w:val="19"/>
        </w:rPr>
        <w:t xml:space="preserve">覆盖更多靶点的产品不因此受限</w:t>
      </w:r>
      <w:r>
        <w:rPr>
          <w:rFonts w:ascii="Times New Roman" w:eastAsia="宋体" w:hAnsi="Times New Roman"/>
          <w:b w:val="false"/>
          <w:bCs w:val="false"/>
          <w:color w:val="000000"/>
          <w:sz w:val="19"/>
          <w:szCs w:val="19"/>
        </w:rPr>
        <w:t xml:space="preserve">；投标人应在投标文件中列明所投产品的完整检测范围。检测项目的收费按江苏省现行医疗服务价格政策执行，现行适用收费编码 012100000200000「高通量测序法检测费（病理样本）」，按项目分为 4,500 元、7,000 元、9,900 元等档次；</w:t>
      </w:r>
      <w:r>
        <w:rPr>
          <w:rFonts w:ascii="Times New Roman" w:eastAsia="宋体" w:hAnsi="Times New Roman"/>
          <w:b/>
          <w:bCs/>
          <w:color w:val="000000"/>
          <w:sz w:val="19"/>
          <w:szCs w:val="19"/>
        </w:rPr>
        <w:t xml:space="preserve">具体产品适用的档次与最终开展范围，以院方完成新增项目论证与物价备案后的结果为准。</w:t>
      </w:r>
    </w:p>
    <w:p>
      <w:pPr>
        <w:spacing w:before="400" w:line="380"/>
        <w:ind w:right="400"/>
        <w:jc w:val="right"/>
      </w:pPr>
      <w:r>
        <w:rPr>
          <w:rFonts w:ascii="Arial" w:eastAsia="黑体" w:hAnsi="Arial"/>
          <w:b/>
          <w:bCs/>
          <w:color w:val="000000"/>
          <w:sz w:val="21"/>
          <w:szCs w:val="21"/>
        </w:rPr>
        <w:t xml:space="preserve">苏州市立医院分子诊断中心</w:t>
      </w:r>
    </w:p>
    <w:p>
      <w:pPr>
        <w:spacing w:line="380"/>
        <w:ind w:right="400"/>
        <w:jc w:val="right"/>
      </w:pPr>
      <w:r>
        <w:rPr>
          <w:rFonts w:ascii="Times New Roman" w:eastAsia="宋体" w:hAnsi="Times New Roman"/>
          <w:b w:val="false"/>
          <w:bCs w:val="false"/>
          <w:color w:val="000000"/>
          <w:sz w:val="21"/>
          <w:szCs w:val="21"/>
        </w:rPr>
        <w:t xml:space="preserve">二〇二六年九月九日</w:t>
      </w:r>
    </w:p>
    <w:sectPr>
      <w:footerReference w:type="default" r:id="rId7"/>
      <w:pgSz w:w="11906" w:h="16838" w:orient="portrait"/>
      <w:pgMar w:top="1134" w:right="1021" w:bottom="1021"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宋体" w:hAnsi="Times New Roman"/>
        <w:b w:val="false"/>
        <w:bCs w:val="false"/>
        <w:color w:val="000000"/>
        <w:sz w:val="21"/>
        <w:szCs w:val="21"/>
      </w:rPr>
      <w:t xml:space="preserve">— </w:t>
    </w:r>
    <w:r>
      <w:rPr>
        <w:rFonts w:ascii="Times New Roman" w:eastAsia="宋体" w:hAnsi="Times New Roman"/>
        <w:sz w:val="19"/>
        <w:szCs w:val="19"/>
      </w:rPr>
      <w:fldChar w:fldCharType="begin"/>
      <w:instrText xml:space="preserve">PAGE</w:instrText>
      <w:fldChar w:fldCharType="separate"/>
      <w:fldChar w:fldCharType="end"/>
    </w:r>
    <w:r>
      <w:rPr>
        <w:rFonts w:ascii="Times New Roman" w:eastAsia="宋体" w:hAnsi="Times New Roman"/>
        <w:b w:val="false"/>
        <w:bCs w:val="false"/>
        <w:color w:val="000000"/>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1"/>
        <w:szCs w:val="21"/>
      </w:rPr>
    </w:rPrDefault>
    <w:pPrDefault>
      <w:pPr>
        <w:spacing w:line="3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2026-09-10T07:42:33.088Z</dcterms:created>
  <dcterms:modified xsi:type="dcterms:W3CDTF">2026-09-10T07:42:33.105Z</dcterms:modified>
</cp:coreProperties>
</file>

<file path=docProps/custom.xml><?xml version="1.0" encoding="utf-8"?>
<Properties xmlns="http://schemas.openxmlformats.org/officeDocument/2006/custom-properties" xmlns:vt="http://schemas.openxmlformats.org/officeDocument/2006/docPropsVTypes"/>
</file>