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eastAsia="黑体" w:hAnsi="Arial"/>
          <w:b w:val="false"/>
          <w:bCs w:val="false"/>
          <w:color w:val="000000"/>
          <w:spacing w:val="60"/>
          <w:sz w:val="24"/>
          <w:szCs w:val="24"/>
        </w:rPr>
        <w:t xml:space="preserve">苏州市立医院分子诊断中心</w:t>
      </w:r>
    </w:p>
    <w:p>
      <w:pPr>
        <w:spacing w:after="100" w:line="440"/>
        <w:jc w:val="center"/>
      </w:pPr>
      <w:r>
        <w:rPr>
          <w:rFonts w:ascii="Times New Roman" w:eastAsia="宋体" w:hAnsi="Times New Roman"/>
          <w:b/>
          <w:bCs/>
          <w:color w:val="000000"/>
          <w:spacing w:val="20"/>
          <w:sz w:val="44"/>
          <w:szCs w:val="44"/>
        </w:rPr>
        <w:t xml:space="preserve">肿瘤 NGS 平台招标需求</w:t>
      </w:r>
    </w:p>
    <w:p>
      <w:pPr>
        <w:pBdr>
          <w:bottom w:val="double" w:color="000000" w:sz="6" w:space="10"/>
        </w:pBdr>
        <w:spacing w:after="260"/>
        <w:jc w:val="center"/>
      </w:pPr>
      <w:r>
        <w:rPr>
          <w:rFonts w:ascii="Times New Roman" w:eastAsia="宋体" w:hAnsi="Times New Roman"/>
          <w:b w:val="false"/>
          <w:bCs w:val="false"/>
          <w:color w:val="444444"/>
          <w:sz w:val="21"/>
          <w:szCs w:val="21"/>
        </w:rPr>
        <w:t xml:space="preserve">建设地点：太湖新城总院区</w:t>
      </w:r>
    </w:p>
    <w:p>
      <w:pPr>
        <w:keepNext/>
        <w:spacing w:after="140" w:before="320" w:line="380"/>
      </w:pPr>
      <w:r>
        <w:rPr>
          <w:rFonts w:ascii="Arial" w:eastAsia="黑体" w:hAnsi="Arial"/>
          <w:b/>
          <w:bCs/>
          <w:color w:val="000000"/>
          <w:sz w:val="25"/>
          <w:szCs w:val="25"/>
        </w:rPr>
        <w:t xml:space="preserve">测序仪</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900"/>
        <w:gridCol w:w="2200"/>
        <w:gridCol w:w="5160"/>
        <w:gridCol w:w="1600"/>
      </w:tblGrid>
      <w:tr>
        <w:trPr>
          <w:tblHeader/>
        </w:trPr>
        <w:tc>
          <w:tcPr>
            <w:tcW w:type="dxa" w:w="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2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品牌</w:t>
            </w:r>
          </w:p>
        </w:tc>
        <w:tc>
          <w:tcPr>
            <w:tcW w:type="dxa" w:w="5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型号</w:t>
            </w:r>
          </w:p>
        </w:tc>
        <w:tc>
          <w:tcPr>
            <w:tcW w:type="dxa" w:w="16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数量（台）</w:t>
            </w:r>
          </w:p>
        </w:tc>
      </w:tr>
      <w:tr>
        <w:tc>
          <w:tcPr>
            <w:tcW w:type="dxa" w:w="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5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w:t>
            </w:r>
          </w:p>
        </w:tc>
        <w:tc>
          <w:tcPr>
            <w:tcW w:type="dxa" w:w="16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bl>
    <w:p>
      <w:pPr>
        <w:keepNext/>
        <w:spacing w:after="140" w:before="320" w:line="380"/>
      </w:pPr>
      <w:r>
        <w:rPr>
          <w:rFonts w:ascii="Arial" w:eastAsia="黑体" w:hAnsi="Arial"/>
          <w:b/>
          <w:bCs/>
          <w:color w:val="000000"/>
          <w:sz w:val="25"/>
          <w:szCs w:val="25"/>
        </w:rPr>
        <w:t xml:space="preserve">服务内容</w:t>
      </w:r>
    </w:p>
    <w:p>
      <w:pPr>
        <w:keepNext/>
        <w:spacing w:after="100" w:before="220" w:line="380"/>
      </w:pPr>
      <w:r>
        <w:rPr>
          <w:rFonts w:ascii="Arial" w:eastAsia="黑体" w:hAnsi="Arial"/>
          <w:b/>
          <w:bCs/>
          <w:color w:val="000000"/>
          <w:sz w:val="22"/>
          <w:szCs w:val="22"/>
        </w:rPr>
        <w:t xml:space="preserve">1　负责实验室场地适配</w:t>
      </w:r>
    </w:p>
    <w:p>
      <w:pPr>
        <w:spacing w:after="100" w:line="380"/>
        <w:ind w:left="0" w:firstLine="420"/>
        <w:jc w:val="both"/>
      </w:pPr>
      <w:r>
        <w:rPr>
          <w:rFonts w:ascii="Times New Roman" w:eastAsia="宋体" w:hAnsi="Times New Roman"/>
          <w:b w:val="false"/>
          <w:bCs w:val="false"/>
          <w:color w:val="000000"/>
          <w:sz w:val="21"/>
          <w:szCs w:val="21"/>
        </w:rPr>
        <w:t xml:space="preserve">本项目使用太湖新城总院区现有 PCR 多分区实验室，</w:t>
      </w:r>
      <w:r>
        <w:rPr>
          <w:rFonts w:ascii="Times New Roman" w:eastAsia="宋体" w:hAnsi="Times New Roman"/>
          <w:b/>
          <w:bCs/>
          <w:color w:val="000000"/>
          <w:sz w:val="21"/>
          <w:szCs w:val="21"/>
        </w:rPr>
        <w:t xml:space="preserve">不涉及新建与装修改造</w:t>
      </w:r>
      <w:r>
        <w:rPr>
          <w:rFonts w:ascii="Times New Roman" w:eastAsia="宋体" w:hAnsi="Times New Roman"/>
          <w:b w:val="false"/>
          <w:bCs w:val="false"/>
          <w:color w:val="000000"/>
          <w:sz w:val="21"/>
          <w:szCs w:val="21"/>
        </w:rPr>
        <w:t xml:space="preserve">。负责设备进场前的现场勘察，就台面承重、供电、给排水、温湿度与网络接入提出书面要求；测序室边台改造为称重桌，以及设备就位所需的其他局部适配调整，由我方负责实施，费用计入报价，直至各功能分区满足临床项目开展的场地要求。</w:t>
      </w:r>
    </w:p>
    <w:p>
      <w:pPr>
        <w:keepNext/>
        <w:spacing w:after="100" w:before="220" w:line="380"/>
      </w:pPr>
      <w:r>
        <w:rPr>
          <w:rFonts w:ascii="Arial" w:eastAsia="黑体" w:hAnsi="Arial"/>
          <w:b/>
          <w:bCs/>
          <w:color w:val="000000"/>
          <w:sz w:val="22"/>
          <w:szCs w:val="22"/>
        </w:rPr>
        <w:t xml:space="preserve">2　负责平台配套设备、试剂的供应</w:t>
      </w:r>
    </w:p>
    <w:p>
      <w:pPr>
        <w:spacing w:after="100" w:line="380"/>
        <w:ind w:left="0" w:firstLine="420"/>
        <w:jc w:val="both"/>
      </w:pPr>
      <w:r>
        <w:rPr>
          <w:rFonts w:ascii="Times New Roman" w:eastAsia="宋体" w:hAnsi="Times New Roman"/>
          <w:b w:val="false"/>
          <w:bCs w:val="false"/>
          <w:color w:val="000000"/>
          <w:sz w:val="21"/>
          <w:szCs w:val="21"/>
        </w:rPr>
        <w:t xml:space="preserve">附件一所列设备与器具</w:t>
      </w:r>
      <w:r>
        <w:rPr>
          <w:rFonts w:ascii="Times New Roman" w:eastAsia="宋体" w:hAnsi="Times New Roman"/>
          <w:b/>
          <w:bCs/>
          <w:color w:val="000000"/>
          <w:sz w:val="21"/>
          <w:szCs w:val="21"/>
        </w:rPr>
        <w:t xml:space="preserve">由我方全部投入</w:t>
      </w:r>
      <w:r>
        <w:rPr>
          <w:rFonts w:ascii="Times New Roman" w:eastAsia="宋体" w:hAnsi="Times New Roman"/>
          <w:b w:val="false"/>
          <w:bCs w:val="false"/>
          <w:color w:val="000000"/>
          <w:sz w:val="21"/>
          <w:szCs w:val="21"/>
        </w:rPr>
        <w:t xml:space="preserve">。设备后续将随分子诊断中心整体迁至新址，该处无既有设备，故清单不设「沿用院方现有设备」口径。试剂按院方确定的拟开展检测项目供应，每一癌种可包含多个检测项目及多个试剂盒，</w:t>
      </w:r>
      <w:r>
        <w:rPr>
          <w:rFonts w:ascii="Times New Roman" w:eastAsia="宋体" w:hAnsi="Times New Roman"/>
          <w:b/>
          <w:bCs/>
          <w:color w:val="000000"/>
          <w:sz w:val="21"/>
          <w:szCs w:val="21"/>
        </w:rPr>
        <w:t xml:space="preserve">全程冷链配送至太湖新城总院区实验室</w:t>
      </w:r>
      <w:r>
        <w:rPr>
          <w:rFonts w:ascii="Times New Roman" w:eastAsia="宋体" w:hAnsi="Times New Roman"/>
          <w:b w:val="false"/>
          <w:bCs w:val="false"/>
          <w:color w:val="000000"/>
          <w:sz w:val="21"/>
          <w:szCs w:val="21"/>
        </w:rPr>
        <w:t xml:space="preserve">，服务期内持续稳定供应；</w:t>
      </w:r>
      <w:r>
        <w:rPr>
          <w:rFonts w:ascii="Times New Roman" w:eastAsia="宋体" w:hAnsi="Times New Roman"/>
          <w:b/>
          <w:bCs/>
          <w:color w:val="000000"/>
          <w:sz w:val="21"/>
          <w:szCs w:val="21"/>
        </w:rPr>
        <w:t xml:space="preserve">所供试剂盒须取得国家药品监督管理局第三类医疗器械注册证，注册证在有效期内，注册适用范围覆盖对应癌种，且注册证载明的适用机型包含 MGISEQ-2000。</w:t>
      </w:r>
      <w:r>
        <w:rPr>
          <w:rFonts w:ascii="Times New Roman" w:eastAsia="宋体" w:hAnsi="Times New Roman"/>
          <w:b w:val="false"/>
          <w:bCs w:val="false"/>
          <w:color w:val="000000"/>
          <w:sz w:val="21"/>
          <w:szCs w:val="21"/>
        </w:rPr>
        <w:t xml:space="preserve">设备、试剂供应以满足实验室项目开展的需求为标准。</w:t>
      </w:r>
    </w:p>
    <w:p>
      <w:pPr>
        <w:keepNext/>
        <w:spacing w:after="100" w:before="220" w:line="380"/>
      </w:pPr>
      <w:r>
        <w:rPr>
          <w:rFonts w:ascii="Arial" w:eastAsia="黑体" w:hAnsi="Arial"/>
          <w:b/>
          <w:bCs/>
          <w:color w:val="000000"/>
          <w:sz w:val="22"/>
          <w:szCs w:val="22"/>
        </w:rPr>
        <w:t xml:space="preserve">3　负责质量管理体系建设，协助室间质评</w:t>
      </w:r>
    </w:p>
    <w:p>
      <w:pPr>
        <w:spacing w:after="100" w:line="380"/>
        <w:ind w:left="0" w:firstLine="420"/>
        <w:jc w:val="both"/>
      </w:pPr>
      <w:r>
        <w:rPr>
          <w:rFonts w:ascii="Times New Roman" w:eastAsia="宋体" w:hAnsi="Times New Roman"/>
          <w:b w:val="false"/>
          <w:bCs w:val="false"/>
          <w:color w:val="000000"/>
          <w:sz w:val="21"/>
          <w:szCs w:val="21"/>
        </w:rPr>
        <w:t xml:space="preserve">负责平台检测项目的标准化操作文件及实验室其他质量管理体系文件的建立；配合完成方法学性能验证（精密度、正确度、</w:t>
      </w:r>
      <w:r>
        <w:rPr>
          <w:rFonts w:ascii="Times New Roman" w:eastAsia="宋体" w:hAnsi="Times New Roman"/>
          <w:b/>
          <w:bCs/>
          <w:color w:val="000000"/>
          <w:sz w:val="21"/>
          <w:szCs w:val="21"/>
        </w:rPr>
        <w:t xml:space="preserve">最低检出变异频率、测序深度与覆盖均一度</w:t>
      </w:r>
      <w:r>
        <w:rPr>
          <w:rFonts w:ascii="Times New Roman" w:eastAsia="宋体" w:hAnsi="Times New Roman"/>
          <w:b w:val="false"/>
          <w:bCs w:val="false"/>
          <w:color w:val="000000"/>
          <w:sz w:val="21"/>
          <w:szCs w:val="21"/>
        </w:rPr>
        <w:t xml:space="preserve">、可报告范围等），</w:t>
      </w:r>
      <w:r>
        <w:rPr>
          <w:rFonts w:ascii="Times New Roman" w:eastAsia="宋体" w:hAnsi="Times New Roman"/>
          <w:b/>
          <w:bCs/>
          <w:color w:val="000000"/>
          <w:sz w:val="21"/>
          <w:szCs w:val="21"/>
        </w:rPr>
        <w:t xml:space="preserve">性能验证在院方指定的场地与设备上进行，验证结论由院方确认，未通过验证的产品予以更换</w:t>
      </w:r>
      <w:r>
        <w:rPr>
          <w:rFonts w:ascii="Times New Roman" w:eastAsia="宋体" w:hAnsi="Times New Roman"/>
          <w:b w:val="false"/>
          <w:bCs w:val="false"/>
          <w:color w:val="000000"/>
          <w:sz w:val="21"/>
          <w:szCs w:val="21"/>
        </w:rPr>
        <w:t xml:space="preserve">；协助完成并上报室间质评结果；配合院方通过临床基因扩增检验实验室技术审核。</w:t>
      </w:r>
    </w:p>
    <w:p>
      <w:pPr>
        <w:keepNext/>
        <w:spacing w:after="100" w:before="220" w:line="380"/>
      </w:pPr>
      <w:r>
        <w:rPr>
          <w:rFonts w:ascii="Arial" w:eastAsia="黑体" w:hAnsi="Arial"/>
          <w:b/>
          <w:bCs/>
          <w:color w:val="000000"/>
          <w:sz w:val="22"/>
          <w:szCs w:val="22"/>
        </w:rPr>
        <w:t xml:space="preserve">4　负责 NGS 项目技术转移与驻场支持</w:t>
      </w:r>
    </w:p>
    <w:p>
      <w:pPr>
        <w:spacing w:after="100" w:line="380"/>
        <w:ind w:left="0" w:firstLine="420"/>
        <w:jc w:val="both"/>
      </w:pPr>
      <w:r>
        <w:rPr>
          <w:rFonts w:ascii="Times New Roman" w:eastAsia="宋体" w:hAnsi="Times New Roman"/>
          <w:b w:val="false"/>
          <w:bCs w:val="false"/>
          <w:color w:val="000000"/>
          <w:sz w:val="21"/>
          <w:szCs w:val="21"/>
        </w:rPr>
        <w:t xml:space="preserve">负责人员带教与标准化流程输出，内容覆盖样本前处理、文库构建、杂交捕获、上机测序、数据分析与报告解读全流程，</w:t>
      </w:r>
      <w:r>
        <w:rPr>
          <w:rFonts w:ascii="Times New Roman" w:eastAsia="宋体" w:hAnsi="Times New Roman"/>
          <w:b/>
          <w:bCs/>
          <w:color w:val="000000"/>
          <w:sz w:val="21"/>
          <w:szCs w:val="21"/>
        </w:rPr>
        <w:t xml:space="preserve">直至院方人员具备独立操作能力</w:t>
      </w:r>
      <w:r>
        <w:rPr>
          <w:rFonts w:ascii="Times New Roman" w:eastAsia="宋体" w:hAnsi="Times New Roman"/>
          <w:b w:val="false"/>
          <w:bCs w:val="false"/>
          <w:color w:val="000000"/>
          <w:sz w:val="21"/>
          <w:szCs w:val="21"/>
        </w:rPr>
        <w:t xml:space="preserve">。</w:t>
      </w:r>
      <w:r>
        <w:rPr>
          <w:rFonts w:ascii="Times New Roman" w:eastAsia="宋体" w:hAnsi="Times New Roman"/>
          <w:b/>
          <w:bCs/>
          <w:color w:val="000000"/>
          <w:sz w:val="21"/>
          <w:szCs w:val="21"/>
        </w:rPr>
        <w:t xml:space="preserve">前期派驻技术人员 1–2 名驻场配合，具体人数按院方实际需求与样本量确定</w:t>
      </w:r>
      <w:r>
        <w:rPr>
          <w:rFonts w:ascii="Times New Roman" w:eastAsia="宋体" w:hAnsi="Times New Roman"/>
          <w:b w:val="false"/>
          <w:bCs w:val="false"/>
          <w:color w:val="000000"/>
          <w:sz w:val="21"/>
          <w:szCs w:val="21"/>
        </w:rPr>
        <w:t xml:space="preserve">；培训形成书面记录与考核结论。</w:t>
      </w:r>
    </w:p>
    <w:p>
      <w:pPr>
        <w:keepNext/>
        <w:spacing w:after="100" w:before="220" w:line="380"/>
      </w:pPr>
      <w:r>
        <w:rPr>
          <w:rFonts w:ascii="Arial" w:eastAsia="黑体" w:hAnsi="Arial"/>
          <w:b/>
          <w:bCs/>
          <w:color w:val="000000"/>
          <w:sz w:val="22"/>
          <w:szCs w:val="22"/>
        </w:rPr>
        <w:t xml:space="preserve">5　负责临床沟通与报告解读支持</w:t>
      </w:r>
    </w:p>
    <w:p>
      <w:pPr>
        <w:spacing w:after="100" w:line="380"/>
        <w:ind w:left="0" w:firstLine="420"/>
        <w:jc w:val="both"/>
      </w:pPr>
      <w:r>
        <w:rPr>
          <w:rFonts w:ascii="Times New Roman" w:eastAsia="宋体" w:hAnsi="Times New Roman"/>
          <w:b w:val="false"/>
          <w:bCs w:val="false"/>
          <w:color w:val="000000"/>
          <w:sz w:val="21"/>
          <w:szCs w:val="21"/>
        </w:rPr>
        <w:t xml:space="preserve">提供检测项目的临床沟通与疑难病例报告解读支持；配合院方面向肿瘤科、呼吸科、胸外科、消化外科、乳腺外科、病理科等相关科室开展技术交流。</w:t>
      </w:r>
    </w:p>
    <w:p>
      <w:pPr>
        <w:keepNext/>
        <w:spacing w:after="100" w:before="220" w:line="380"/>
      </w:pPr>
      <w:r>
        <w:rPr>
          <w:rFonts w:ascii="Arial" w:eastAsia="黑体" w:hAnsi="Arial"/>
          <w:b/>
          <w:bCs/>
          <w:color w:val="000000"/>
          <w:sz w:val="22"/>
          <w:szCs w:val="22"/>
        </w:rPr>
        <w:t xml:space="preserve">6　负责项目推广</w:t>
      </w:r>
    </w:p>
    <w:p>
      <w:pPr>
        <w:spacing w:after="100" w:line="380"/>
        <w:ind w:left="0" w:firstLine="420"/>
        <w:jc w:val="both"/>
      </w:pPr>
      <w:r>
        <w:rPr>
          <w:rFonts w:ascii="Times New Roman" w:eastAsia="宋体" w:hAnsi="Times New Roman"/>
          <w:b w:val="false"/>
          <w:bCs w:val="false"/>
          <w:color w:val="000000"/>
          <w:sz w:val="21"/>
          <w:szCs w:val="21"/>
        </w:rPr>
        <w:t xml:space="preserve">有专人负责区域业务拓展与临床科室对接，配合院方开展本平台检测项目的临床宣讲与 MDT 沟通，提升平台的临床应用与检测量。</w:t>
      </w:r>
    </w:p>
    <w:p>
      <w:pPr>
        <w:keepNext/>
        <w:spacing w:after="100" w:before="220" w:line="380"/>
      </w:pPr>
      <w:r>
        <w:rPr>
          <w:rFonts w:ascii="Arial" w:eastAsia="黑体" w:hAnsi="Arial"/>
          <w:b/>
          <w:bCs/>
          <w:color w:val="000000"/>
          <w:sz w:val="22"/>
          <w:szCs w:val="22"/>
        </w:rPr>
        <w:t xml:space="preserve">7　负责数据安全与本地化部署</w:t>
      </w:r>
    </w:p>
    <w:p>
      <w:pPr>
        <w:spacing w:after="100" w:line="380"/>
        <w:ind w:left="0" w:firstLine="420"/>
        <w:jc w:val="both"/>
      </w:pPr>
      <w:r>
        <w:rPr>
          <w:rFonts w:ascii="Times New Roman" w:eastAsia="宋体" w:hAnsi="Times New Roman"/>
          <w:b w:val="false"/>
          <w:bCs w:val="false"/>
          <w:color w:val="000000"/>
          <w:sz w:val="21"/>
          <w:szCs w:val="21"/>
        </w:rPr>
        <w:t xml:space="preserve">分析解读软硬件在院内本地化部署。</w:t>
      </w:r>
      <w:r>
        <w:rPr>
          <w:rFonts w:ascii="Times New Roman" w:eastAsia="宋体" w:hAnsi="Times New Roman"/>
          <w:b/>
          <w:bCs/>
          <w:color w:val="000000"/>
          <w:sz w:val="21"/>
          <w:szCs w:val="21"/>
        </w:rPr>
        <w:t xml:space="preserve">本平台产生的检测数据归院方所有，存储于院内，不上传至院外，不出境</w:t>
      </w:r>
      <w:r>
        <w:rPr>
          <w:rFonts w:ascii="Times New Roman" w:eastAsia="宋体" w:hAnsi="Times New Roman"/>
          <w:b w:val="false"/>
          <w:bCs w:val="false"/>
          <w:color w:val="000000"/>
          <w:sz w:val="21"/>
          <w:szCs w:val="21"/>
        </w:rPr>
        <w:t xml:space="preserve">；涉及人类遗传资源的活动，符合《中华人民共和国人类遗传资源管理条例》及其实施细则的规定。</w:t>
      </w:r>
    </w:p>
    <w:p>
      <w:pPr>
        <w:keepNext/>
        <w:spacing w:after="140" w:before="320" w:line="380"/>
      </w:pPr>
      <w:r>
        <w:rPr>
          <w:rFonts w:ascii="Arial" w:eastAsia="黑体" w:hAnsi="Arial"/>
          <w:b/>
          <w:bCs/>
          <w:color w:val="000000"/>
          <w:sz w:val="25"/>
          <w:szCs w:val="25"/>
        </w:rPr>
        <w:t xml:space="preserve">人员规划</w:t>
      </w:r>
    </w:p>
    <w:p>
      <w:pPr>
        <w:spacing w:after="100" w:line="380"/>
        <w:ind w:left="0" w:firstLine="420"/>
        <w:jc w:val="both"/>
      </w:pPr>
      <w:r>
        <w:rPr>
          <w:rFonts w:ascii="Times New Roman" w:eastAsia="宋体" w:hAnsi="Times New Roman"/>
          <w:b w:val="false"/>
          <w:bCs w:val="false"/>
          <w:color w:val="000000"/>
          <w:sz w:val="21"/>
          <w:szCs w:val="21"/>
        </w:rPr>
        <w:t xml:space="preserve">我方设项目负责人 1 名；</w:t>
      </w:r>
      <w:r>
        <w:rPr>
          <w:rFonts w:ascii="Times New Roman" w:eastAsia="宋体" w:hAnsi="Times New Roman"/>
          <w:b/>
          <w:bCs/>
          <w:color w:val="000000"/>
          <w:sz w:val="21"/>
          <w:szCs w:val="21"/>
        </w:rPr>
        <w:t xml:space="preserve">前期派驻技术人员 1–2 名</w:t>
      </w:r>
      <w:r>
        <w:rPr>
          <w:rFonts w:ascii="Times New Roman" w:eastAsia="宋体" w:hAnsi="Times New Roman"/>
          <w:b w:val="false"/>
          <w:bCs w:val="false"/>
          <w:color w:val="000000"/>
          <w:sz w:val="21"/>
          <w:szCs w:val="21"/>
        </w:rPr>
        <w:t xml:space="preserve">，具备分子诊断或临床检验相关背景并持临床基因扩增检验实验室技术人员上岗证，负责带教、技术对接与日常运行配合。</w:t>
      </w:r>
      <w:r>
        <w:rPr>
          <w:rFonts w:ascii="Times New Roman" w:eastAsia="宋体" w:hAnsi="Times New Roman"/>
          <w:b/>
          <w:bCs/>
          <w:color w:val="000000"/>
          <w:sz w:val="21"/>
          <w:szCs w:val="21"/>
        </w:rPr>
        <w:t xml:space="preserve">驻场人数按院方实际需求与样本量调整</w:t>
      </w:r>
      <w:r>
        <w:rPr>
          <w:rFonts w:ascii="Times New Roman" w:eastAsia="宋体" w:hAnsi="Times New Roman"/>
          <w:b w:val="false"/>
          <w:bCs w:val="false"/>
          <w:color w:val="000000"/>
          <w:sz w:val="21"/>
          <w:szCs w:val="21"/>
        </w:rPr>
        <w:t xml:space="preserve">，待院方人员具备独立操作能力后转为定期回访与按需响应。</w:t>
      </w:r>
    </w:p>
    <w:p>
      <w:pPr>
        <w:spacing w:after="100" w:line="380"/>
        <w:ind w:left="0" w:firstLine="420"/>
        <w:jc w:val="both"/>
      </w:pPr>
      <w:r>
        <w:rPr>
          <w:rFonts w:ascii="Times New Roman" w:eastAsia="宋体" w:hAnsi="Times New Roman"/>
          <w:b w:val="false"/>
          <w:bCs w:val="false"/>
          <w:color w:val="000000"/>
          <w:sz w:val="21"/>
          <w:szCs w:val="21"/>
        </w:rPr>
        <w:t xml:space="preserve">院方按拟开展项目与预估样本量测算所需检验人员数量并负责招聘，</w:t>
      </w:r>
      <w:r>
        <w:rPr>
          <w:rFonts w:ascii="Times New Roman" w:eastAsia="宋体" w:hAnsi="Times New Roman"/>
          <w:b/>
          <w:bCs/>
          <w:color w:val="000000"/>
          <w:sz w:val="21"/>
          <w:szCs w:val="21"/>
        </w:rPr>
        <w:t xml:space="preserve">相关人员待遇由我方承担</w:t>
      </w:r>
      <w:r>
        <w:rPr>
          <w:rFonts w:ascii="Times New Roman" w:eastAsia="宋体" w:hAnsi="Times New Roman"/>
          <w:b w:val="false"/>
          <w:bCs w:val="false"/>
          <w:color w:val="000000"/>
          <w:sz w:val="21"/>
          <w:szCs w:val="21"/>
        </w:rPr>
        <w:t xml:space="preserve">。我方人员进入实验室遵守院方生物安全、感染控制与信息安全的相关规定并签署保密承诺；检验报告由院方具备相应资质的人员审核签发。</w:t>
      </w:r>
    </w:p>
    <w:p>
      <w:pPr>
        <w:keepNext/>
        <w:spacing w:after="140" w:before="320" w:line="380"/>
      </w:pPr>
      <w:r>
        <w:rPr>
          <w:rFonts w:ascii="Arial" w:eastAsia="黑体" w:hAnsi="Arial"/>
          <w:b/>
          <w:bCs/>
          <w:color w:val="000000"/>
          <w:sz w:val="25"/>
          <w:szCs w:val="25"/>
        </w:rPr>
        <w:t xml:space="preserve">科研支持</w:t>
      </w:r>
    </w:p>
    <w:p>
      <w:pPr>
        <w:spacing w:after="100" w:line="380"/>
        <w:ind w:left="0" w:firstLine="420"/>
        <w:jc w:val="both"/>
      </w:pPr>
      <w:r>
        <w:rPr>
          <w:rFonts w:ascii="Times New Roman" w:eastAsia="宋体" w:hAnsi="Times New Roman"/>
          <w:b/>
          <w:bCs/>
          <w:color w:val="000000"/>
          <w:sz w:val="21"/>
          <w:szCs w:val="21"/>
        </w:rPr>
        <w:t xml:space="preserve">本项目不设科研绑定条款</w:t>
      </w:r>
      <w:r>
        <w:rPr>
          <w:rFonts w:ascii="Times New Roman" w:eastAsia="宋体" w:hAnsi="Times New Roman"/>
          <w:b w:val="false"/>
          <w:bCs w:val="false"/>
          <w:color w:val="000000"/>
          <w:sz w:val="21"/>
          <w:szCs w:val="21"/>
        </w:rPr>
        <w:t xml:space="preserve">，不以科研合作、驻场科研人员、课题与文章署名、学术会议或外出考察等名义，附加与本项目采购相挂钩的条件。</w:t>
      </w:r>
    </w:p>
    <w:p>
      <w:pPr>
        <w:spacing w:after="100" w:line="380"/>
        <w:ind w:left="0" w:firstLine="420"/>
        <w:jc w:val="both"/>
      </w:pPr>
      <w:r>
        <w:rPr>
          <w:rFonts w:ascii="Times New Roman" w:eastAsia="宋体" w:hAnsi="Times New Roman"/>
          <w:b w:val="false"/>
          <w:bCs w:val="false"/>
          <w:color w:val="000000"/>
          <w:sz w:val="21"/>
          <w:szCs w:val="21"/>
        </w:rPr>
        <w:t xml:space="preserve">按院方实际需要，提供本平台检测数据的技术性梳理、方法学资料与生物信息分析支持；如院方另有科研合作意向，另行立项、单独签署协议，与本次采购不作关联。</w:t>
      </w:r>
    </w:p>
    <w:p>
      <w:pPr>
        <w:keepNext/>
        <w:spacing w:after="140" w:before="320" w:line="380"/>
      </w:pPr>
      <w:r>
        <w:rPr>
          <w:rFonts w:ascii="Arial" w:eastAsia="黑体" w:hAnsi="Arial"/>
          <w:b/>
          <w:bCs/>
          <w:color w:val="000000"/>
          <w:sz w:val="25"/>
          <w:szCs w:val="25"/>
        </w:rPr>
        <w:t xml:space="preserve">负责应急事件对接和处理</w:t>
      </w:r>
    </w:p>
    <w:p>
      <w:pPr>
        <w:spacing w:after="100" w:line="380"/>
        <w:ind w:left="0" w:firstLine="420"/>
        <w:jc w:val="both"/>
      </w:pPr>
      <w:r>
        <w:rPr>
          <w:rFonts w:ascii="Times New Roman" w:eastAsia="宋体" w:hAnsi="Times New Roman"/>
          <w:b w:val="false"/>
          <w:bCs w:val="false"/>
          <w:color w:val="000000"/>
          <w:sz w:val="21"/>
          <w:szCs w:val="21"/>
        </w:rPr>
        <w:t xml:space="preserve">紧急情况下（不限于下表所列情况），负责或协助解决问题，保障报告发出的时效性和准确性，保证服务质量。</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2400"/>
        <w:gridCol w:w="7460"/>
      </w:tblGrid>
      <w:tr>
        <w:trPr>
          <w:tblHeader/>
        </w:trPr>
        <w:tc>
          <w:tcPr>
            <w:tcW w:type="dxa" w:w="24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应急事件（举例）</w:t>
            </w:r>
          </w:p>
        </w:tc>
        <w:tc>
          <w:tcPr>
            <w:tcW w:type="dxa" w:w="74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处理方案</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测序仪等核心设备故障</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按合同约定时限响应与到场，现场维修或返厂维修后交还医院；</w:t>
            </w:r>
          </w:p>
          <w:p>
            <w:pPr>
              <w:spacing w:line="280"/>
              <w:jc w:val="left"/>
            </w:pPr>
            <w:r>
              <w:rPr>
                <w:rFonts w:ascii="Times New Roman" w:eastAsia="宋体" w:hAnsi="Times New Roman"/>
                <w:b w:val="false"/>
                <w:bCs w:val="false"/>
                <w:color w:val="000000"/>
                <w:sz w:val="18"/>
                <w:szCs w:val="18"/>
              </w:rPr>
              <w:t xml:space="preserve">2. 无法在约定时限内修复的，提供同等性能备机；或协助将样本外送至具备临床基因扩增检验实验室资质及相应检测项目能力的第三方医学检验机构检测，委托检验另行签订协议并报院方备案。</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试剂与耗材供应中断</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建立安全库存，提前告知供应风险；</w:t>
            </w:r>
          </w:p>
          <w:p>
            <w:pPr>
              <w:spacing w:line="280"/>
              <w:jc w:val="left"/>
            </w:pPr>
            <w:r>
              <w:rPr>
                <w:rFonts w:ascii="Times New Roman" w:eastAsia="宋体" w:hAnsi="Times New Roman"/>
                <w:b w:val="false"/>
                <w:bCs w:val="false"/>
                <w:color w:val="000000"/>
                <w:sz w:val="18"/>
                <w:szCs w:val="18"/>
              </w:rPr>
              <w:t xml:space="preserve">2. 由我方其他仓库临时调拨，并联系厂家及时恢复供应。</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样本质量不合格或建库、捕获失败</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出具不合格原因说明，包括 DNA 得率与完整性、肿瘤细胞含量、文库浓度与片段分布等质控数据；</w:t>
            </w:r>
          </w:p>
          <w:p>
            <w:pPr>
              <w:spacing w:line="280"/>
              <w:jc w:val="left"/>
            </w:pPr>
            <w:r>
              <w:rPr>
                <w:rFonts w:ascii="Times New Roman" w:eastAsia="宋体" w:hAnsi="Times New Roman"/>
                <w:b w:val="false"/>
                <w:bCs w:val="false"/>
                <w:color w:val="000000"/>
                <w:sz w:val="18"/>
                <w:szCs w:val="18"/>
              </w:rPr>
              <w:t xml:space="preserve">2. 属产品或技术原因的，免费提供重新建库所需试剂并配合重测；需重新取材的，配合院方完成样本补充。</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检测报告超期</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提前告知延期原因与预计出报告时间；</w:t>
            </w:r>
          </w:p>
          <w:p>
            <w:pPr>
              <w:spacing w:line="280"/>
              <w:jc w:val="left"/>
            </w:pPr>
            <w:r>
              <w:rPr>
                <w:rFonts w:ascii="Times New Roman" w:eastAsia="宋体" w:hAnsi="Times New Roman"/>
                <w:b w:val="false"/>
                <w:bCs w:val="false"/>
                <w:color w:val="000000"/>
                <w:sz w:val="18"/>
                <w:szCs w:val="18"/>
              </w:rPr>
              <w:t xml:space="preserve">2. 因我方设备、试剂或技术支持原因导致超期的，按合同约定承担责任并提出改进措施。</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检测结果争议与复核</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配合院方开展原因调查，提供批次记录、质控数据、原始下机数据与方法学资料；</w:t>
            </w:r>
          </w:p>
          <w:p>
            <w:pPr>
              <w:spacing w:line="280"/>
              <w:jc w:val="left"/>
            </w:pPr>
            <w:r>
              <w:rPr>
                <w:rFonts w:ascii="Times New Roman" w:eastAsia="宋体" w:hAnsi="Times New Roman"/>
                <w:b w:val="false"/>
                <w:bCs w:val="false"/>
                <w:color w:val="000000"/>
                <w:sz w:val="18"/>
                <w:szCs w:val="18"/>
              </w:rPr>
              <w:t xml:space="preserve">2. 必要时以原样本重新检测或以其他方法学验证；确因产品或服务原因造成损失的，承担相应责任并补充制定防范措施。</w:t>
            </w:r>
          </w:p>
        </w:tc>
      </w:tr>
      <w:tr>
        <w:tc>
          <w:tcPr>
            <w:tcW w:type="dxa" w:w="24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数据或分析系统异常</w:t>
            </w:r>
          </w:p>
        </w:tc>
        <w:tc>
          <w:tcPr>
            <w:tcW w:type="dxa" w:w="74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及时响应，协助完成数据恢复与追溯，并出具书面说明；</w:t>
            </w:r>
          </w:p>
          <w:p>
            <w:pPr>
              <w:spacing w:line="280"/>
              <w:jc w:val="left"/>
            </w:pPr>
            <w:r>
              <w:rPr>
                <w:rFonts w:ascii="Times New Roman" w:eastAsia="宋体" w:hAnsi="Times New Roman"/>
                <w:b w:val="false"/>
                <w:bCs w:val="false"/>
                <w:color w:val="000000"/>
                <w:sz w:val="18"/>
                <w:szCs w:val="18"/>
              </w:rPr>
              <w:t xml:space="preserve">2. 涉及数据完整性的，配合院方开展核查。</w:t>
            </w:r>
          </w:p>
        </w:tc>
      </w:tr>
    </w:tbl>
    <w:p>
      <w:pPr>
        <w:keepNext/>
        <w:spacing w:after="140" w:before="320" w:line="380"/>
      </w:pPr>
      <w:r>
        <w:rPr>
          <w:rFonts w:ascii="Arial" w:eastAsia="黑体" w:hAnsi="Arial"/>
          <w:b/>
          <w:bCs/>
          <w:color w:val="000000"/>
          <w:sz w:val="25"/>
          <w:szCs w:val="25"/>
        </w:rPr>
        <w:t xml:space="preserve">报价</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2100"/>
        <w:gridCol w:w="3200"/>
        <w:gridCol w:w="4560"/>
      </w:tblGrid>
      <w:tr>
        <w:trPr>
          <w:tblHeader/>
        </w:trPr>
        <w:tc>
          <w:tcPr>
            <w:tcW w:type="dxa" w:w="21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公司</w:t>
            </w:r>
          </w:p>
        </w:tc>
        <w:tc>
          <w:tcPr>
            <w:tcW w:type="dxa" w:w="3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报价</w:t>
            </w:r>
          </w:p>
        </w:tc>
        <w:tc>
          <w:tcPr>
            <w:tcW w:type="dxa" w:w="45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备注</w:t>
            </w:r>
          </w:p>
        </w:tc>
      </w:tr>
      <w:tr>
        <w:tc>
          <w:tcPr>
            <w:tcW w:type="dxa" w:w="21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sz w:val="18"/>
                <w:szCs w:val="18"/>
                <w:u w:val="single"/>
              </w:rPr>
              <w:t xml:space="preserve">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（我方公司名称）</w:t>
            </w:r>
          </w:p>
        </w:tc>
        <w:tc>
          <w:tcPr>
            <w:tcW w:type="dxa" w:w="32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设备：附件一整包投入</w:t>
            </w:r>
          </w:p>
          <w:p>
            <w:pPr>
              <w:spacing w:line="280"/>
              <w:jc w:val="left"/>
            </w:pPr>
            <w:r>
              <w:rPr>
                <w:rFonts w:ascii="Times New Roman" w:eastAsia="宋体" w:hAnsi="Times New Roman"/>
                <w:b w:val="false"/>
                <w:bCs w:val="false"/>
                <w:color w:val="000000"/>
                <w:sz w:val="18"/>
                <w:szCs w:val="18"/>
              </w:rPr>
              <w:t xml:space="preserve">试剂：不高于对应检测项目收费标准的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w:t>
            </w:r>
          </w:p>
        </w:tc>
        <w:tc>
          <w:tcPr>
            <w:tcW w:type="dxa" w:w="45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测序仪为华大智造 MGISEQ-2000，1 台，服务期内不更换；</w:t>
            </w:r>
          </w:p>
          <w:p>
            <w:pPr>
              <w:spacing w:line="280"/>
              <w:jc w:val="left"/>
            </w:pPr>
            <w:r>
              <w:rPr>
                <w:rFonts w:ascii="Times New Roman" w:eastAsia="宋体" w:hAnsi="Times New Roman"/>
                <w:b w:val="false"/>
                <w:bCs w:val="false"/>
                <w:color w:val="000000"/>
                <w:sz w:val="18"/>
                <w:szCs w:val="18"/>
              </w:rPr>
              <w:t xml:space="preserve">2. 设备所有权自最终验收合格之日起归院方所有；</w:t>
            </w:r>
          </w:p>
          <w:p>
            <w:pPr>
              <w:spacing w:line="280"/>
              <w:jc w:val="left"/>
            </w:pPr>
            <w:r>
              <w:rPr>
                <w:rFonts w:ascii="Times New Roman" w:eastAsia="宋体" w:hAnsi="Times New Roman"/>
                <w:b w:val="false"/>
                <w:bCs w:val="false"/>
                <w:color w:val="000000"/>
                <w:sz w:val="18"/>
                <w:szCs w:val="18"/>
              </w:rPr>
              <w:t xml:space="preserve">3. 质保期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年，质保期满后的维保价格另行报出；</w:t>
            </w:r>
          </w:p>
          <w:p>
            <w:pPr>
              <w:spacing w:line="280"/>
              <w:jc w:val="left"/>
            </w:pPr>
            <w:r>
              <w:rPr>
                <w:rFonts w:ascii="Times New Roman" w:eastAsia="宋体" w:hAnsi="Times New Roman"/>
                <w:b w:val="false"/>
                <w:bCs w:val="false"/>
                <w:color w:val="000000"/>
                <w:sz w:val="18"/>
                <w:szCs w:val="18"/>
              </w:rPr>
              <w:t xml:space="preserve">4. 试剂收费标准按江苏省现行医疗服务价格政策执行，政策调整时按调整后的标准与同一比例随动；</w:t>
            </w:r>
          </w:p>
          <w:p>
            <w:pPr>
              <w:spacing w:line="280"/>
              <w:jc w:val="left"/>
            </w:pPr>
            <w:r>
              <w:rPr>
                <w:rFonts w:ascii="Times New Roman" w:eastAsia="宋体" w:hAnsi="Times New Roman"/>
                <w:b w:val="false"/>
                <w:bCs w:val="false"/>
                <w:color w:val="000000"/>
                <w:sz w:val="18"/>
                <w:szCs w:val="18"/>
              </w:rPr>
              <w:t xml:space="preserve">5. 院方场地调整需要移机的，移机服务价格单独报出，移机不影响原质保期的连续计算。</w:t>
            </w:r>
          </w:p>
        </w:tc>
      </w:tr>
    </w:tbl>
    <w:p>
      <w:pPr>
        <w:keepNext/>
        <w:spacing w:after="140" w:before="320" w:line="380"/>
      </w:pPr>
      <w:r>
        <w:rPr>
          <w:rFonts w:ascii="Arial" w:eastAsia="黑体" w:hAnsi="Arial"/>
          <w:b/>
          <w:bCs/>
          <w:color w:val="000000"/>
          <w:sz w:val="25"/>
          <w:szCs w:val="25"/>
        </w:rPr>
        <w:t xml:space="preserve">附件一：设备清单</w:t>
      </w:r>
    </w:p>
    <w:p>
      <w:pPr>
        <w:spacing w:after="100" w:line="380"/>
        <w:ind w:left="0" w:firstLine="420"/>
        <w:jc w:val="both"/>
      </w:pPr>
      <w:r>
        <w:rPr>
          <w:rFonts w:ascii="Times New Roman" w:eastAsia="宋体" w:hAnsi="Times New Roman"/>
          <w:b w:val="false"/>
          <w:bCs w:val="false"/>
          <w:color w:val="000000"/>
          <w:sz w:val="21"/>
          <w:szCs w:val="21"/>
        </w:rPr>
        <w:t xml:space="preserve">本清单共 75 项、119 台（件），</w:t>
      </w:r>
      <w:r>
        <w:rPr>
          <w:rFonts w:ascii="Times New Roman" w:eastAsia="宋体" w:hAnsi="Times New Roman"/>
          <w:b/>
          <w:bCs/>
          <w:color w:val="000000"/>
          <w:sz w:val="21"/>
          <w:szCs w:val="21"/>
        </w:rPr>
        <w:t xml:space="preserve">由我方全部投入</w:t>
      </w:r>
      <w:r>
        <w:rPr>
          <w:rFonts w:ascii="Times New Roman" w:eastAsia="宋体" w:hAnsi="Times New Roman"/>
          <w:b w:val="false"/>
          <w:bCs w:val="false"/>
          <w:color w:val="000000"/>
          <w:sz w:val="21"/>
          <w:szCs w:val="21"/>
        </w:rPr>
        <w:t xml:space="preserve">，按房间与步骤列明。厂商与规格型号为建议配置，可结合院方使用习惯调整。</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080"/>
        <w:gridCol w:w="1340"/>
        <w:gridCol w:w="1580"/>
        <w:gridCol w:w="1340"/>
        <w:gridCol w:w="1900"/>
        <w:gridCol w:w="560"/>
        <w:gridCol w:w="2060"/>
      </w:tblGrid>
      <w:tr>
        <w:trPr>
          <w:tblHeader/>
        </w:trPr>
        <w:tc>
          <w:tcPr>
            <w:tcW w:type="dxa" w:w="108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房间</w:t>
            </w:r>
          </w:p>
        </w:tc>
        <w:tc>
          <w:tcPr>
            <w:tcW w:type="dxa" w:w="134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步骤</w:t>
            </w:r>
          </w:p>
        </w:tc>
        <w:tc>
          <w:tcPr>
            <w:tcW w:type="dxa" w:w="158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产品名称</w:t>
            </w:r>
          </w:p>
        </w:tc>
        <w:tc>
          <w:tcPr>
            <w:tcW w:type="dxa" w:w="134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建议厂商
（供参考）</w:t>
            </w:r>
          </w:p>
        </w:tc>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建议规格型号
（供参考）</w:t>
            </w:r>
          </w:p>
        </w:tc>
        <w:tc>
          <w:tcPr>
            <w:tcW w:type="dxa" w:w="5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w:t>
            </w:r>
          </w:p>
        </w:tc>
        <w:tc>
          <w:tcPr>
            <w:tcW w:type="dxa" w:w="20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用途</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试剂准备间</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试剂配制与分装</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超净工作台</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ACB-1300V</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试剂配制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纯水仪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锐思捷</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UNIQ-G1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实验用水制备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PCR2</w:t>
            </w:r>
          </w:p>
          <w:p>
            <w:pPr>
              <w:spacing w:line="280"/>
              <w:jc w:val="left"/>
            </w:pPr>
            <w:r>
              <w:rPr>
                <w:rFonts w:ascii="Times New Roman" w:eastAsia="宋体" w:hAnsi="Times New Roman"/>
                <w:b w:val="false"/>
                <w:bCs w:val="false"/>
                <w:color w:val="000000"/>
                <w:sz w:val="18"/>
                <w:szCs w:val="18"/>
              </w:rPr>
              <w:t xml:space="preserve">样本制备区（组织）</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组织前处理＋基因组 DNA 提取</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0.5-10 µL／5-50 µL／30-300 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HT165R</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碳环智造／世和（定制）</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Mag-16W／MagSH-16-1.5mL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BSC-1304ⅡA2</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开放性生物样本操作</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瑞诚仪器</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Invitrogen（原厂）</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Qubit 4.0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核酸／文库浓度测定</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PCR3</w:t>
            </w:r>
          </w:p>
          <w:p>
            <w:pPr>
              <w:spacing w:line="280"/>
              <w:jc w:val="left"/>
            </w:pPr>
            <w:r>
              <w:rPr>
                <w:rFonts w:ascii="Times New Roman" w:eastAsia="宋体" w:hAnsi="Times New Roman"/>
                <w:b w:val="false"/>
                <w:bCs w:val="false"/>
                <w:color w:val="000000"/>
                <w:sz w:val="18"/>
                <w:szCs w:val="18"/>
              </w:rPr>
              <w:t xml:space="preserve">样本制备区（血浆）</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血浆分离＋游离 DNA 提取</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0.5-10 µL／5-50 µL／30-300 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冷冻离心机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H2050R</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血浆分离</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HT165R</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碳环智造／世和（定制）</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Mag-16W／MagSH-16-1.5mL／MagSH-16-5mL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苏净安泰</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BSC-1304ⅡA2</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开放性生物样本操作</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瑞诚仪器</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Invitrogen（原厂）</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Qubit 4.0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核酸／文库浓度测定</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PCR4</w:t>
            </w:r>
          </w:p>
          <w:p>
            <w:pPr>
              <w:spacing w:line="280"/>
              <w:jc w:val="left"/>
            </w:pPr>
            <w:r>
              <w:rPr>
                <w:rFonts w:ascii="Times New Roman" w:eastAsia="宋体" w:hAnsi="Times New Roman"/>
                <w:b w:val="false"/>
                <w:bCs w:val="false"/>
                <w:color w:val="000000"/>
                <w:sz w:val="18"/>
                <w:szCs w:val="18"/>
              </w:rPr>
              <w:t xml:space="preserve">破碎区</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基因组 DNA 超声片段化</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超声波破碎仪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Covaris</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M220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DNA 片段化</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PCR5</w:t>
            </w:r>
          </w:p>
          <w:p>
            <w:pPr>
              <w:spacing w:line="280"/>
              <w:jc w:val="left"/>
            </w:pPr>
            <w:r>
              <w:rPr>
                <w:rFonts w:ascii="Times New Roman" w:eastAsia="宋体" w:hAnsi="Times New Roman"/>
                <w:b w:val="false"/>
                <w:bCs w:val="false"/>
                <w:color w:val="000000"/>
                <w:sz w:val="18"/>
                <w:szCs w:val="18"/>
              </w:rPr>
              <w:t xml:space="preserve">文库制备区</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末端修复＋接头连接＋文库构建</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0.5-10 µL／5-50 µL／30-300 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ETC-821M</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文库孵育／文库扩增</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碳环智造／世和（定制）</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Mag-16W／MagSH-96-0.2mL＋辅助支架</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Mag-96A</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磁珠纯化（96 孔）</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Invitrogen（原厂）</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Qubit 4.0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核酸／文库浓度测定</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PCR6</w:t>
            </w:r>
          </w:p>
          <w:p>
            <w:pPr>
              <w:spacing w:line="280"/>
              <w:jc w:val="left"/>
            </w:pPr>
            <w:r>
              <w:rPr>
                <w:rFonts w:ascii="Times New Roman" w:eastAsia="宋体" w:hAnsi="Times New Roman"/>
                <w:b w:val="false"/>
                <w:bCs w:val="false"/>
                <w:color w:val="000000"/>
                <w:sz w:val="18"/>
                <w:szCs w:val="18"/>
              </w:rPr>
              <w:t xml:space="preserve">杂交捕获区</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探针杂交＋磁珠捕获</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0.5-10 µL／5-50 µL／30-300 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ETC-821M</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文库孵育／文库扩增</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垂直混匀仪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拓赫</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HS-3</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杂交孵育混匀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湘仪</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HT165R</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碳环智造／世和（定制）</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Mag-16W／MagSH-96-0.2mL＋辅助支架／MagSH-16-1.5mL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碳环智造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Mag-96A</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磁珠纯化（96 孔）</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瑞诚仪器</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真空离心浓缩干燥仪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待定</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待定</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捕获后样本与文库浓缩</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Invitrogen（原厂）</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Qubit 4.0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核酸／文库浓度测定</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PCR7</w:t>
            </w:r>
          </w:p>
          <w:p>
            <w:pPr>
              <w:spacing w:line="280"/>
              <w:jc w:val="left"/>
            </w:pPr>
            <w:r>
              <w:rPr>
                <w:rFonts w:ascii="Times New Roman" w:eastAsia="宋体" w:hAnsi="Times New Roman"/>
                <w:b w:val="false"/>
                <w:bCs w:val="false"/>
                <w:color w:val="000000"/>
                <w:sz w:val="18"/>
                <w:szCs w:val="18"/>
              </w:rPr>
              <w:t xml:space="preserve">扩增区</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捕获后扩增＋上机前质检</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澳柯玛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YCD-265T</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得力</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雨花泽</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YHZ-90191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Top-Mix</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Top-Spin</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TIANGEN</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0.1-2.0µL／0.5-10µL／2-20µL／10-100µL／20-200µL／100-1000µL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分子实验操作常规设备</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东胜龙</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ETC-821M</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文库孵育／文库扩增</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浙江光鼎</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Qsep1</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文库片段分布分析</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世和（定制）</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MagSH-16-1.5mL</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荧光计</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Invitrogen（原厂）</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Qubit 4.0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核酸／文库浓度测定</w:t>
            </w:r>
          </w:p>
        </w:tc>
      </w:tr>
      <w:tr>
        <w:tc>
          <w:tcPr>
            <w:tcW w:type="dxa" w:w="108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PCR8</w:t>
            </w:r>
          </w:p>
          <w:p>
            <w:pPr>
              <w:spacing w:line="280"/>
              <w:jc w:val="left"/>
            </w:pPr>
            <w:r>
              <w:rPr>
                <w:rFonts w:ascii="Times New Roman" w:eastAsia="宋体" w:hAnsi="Times New Roman"/>
                <w:b w:val="false"/>
                <w:bCs w:val="false"/>
                <w:color w:val="000000"/>
                <w:sz w:val="18"/>
                <w:szCs w:val="18"/>
              </w:rPr>
              <w:t xml:space="preserve">测序区</w:t>
            </w:r>
          </w:p>
        </w:tc>
        <w:tc>
          <w:tcPr>
            <w:tcW w:type="dxa" w:w="134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上机测序＋数据分析</w:t>
            </w: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抽湿机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欧井</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OJ-501E</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环境湿度控制</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 基因组测序仪</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华大智造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MGISEQ-2000</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基因测序</w:t>
            </w:r>
          </w:p>
        </w:tc>
      </w:tr>
      <w:tr>
        <w:tc>
          <w:tcPr>
            <w:tcW w:type="dxa" w:w="108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分析解读一体机</w:t>
            </w:r>
          </w:p>
        </w:tc>
        <w:tc>
          <w:tcPr>
            <w:tcW w:type="dxa" w:w="134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华大基因</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Halos 一体机</w:t>
            </w:r>
          </w:p>
        </w:tc>
        <w:tc>
          <w:tcPr>
            <w:tcW w:type="dxa" w:w="5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数据分析与报告解读</w:t>
            </w:r>
          </w:p>
        </w:tc>
      </w:tr>
      <w:tr>
        <w:tc>
          <w:tcPr>
            <w:tcW w:type="dxa" w:w="1080"/>
            <w:vMerge w:val="continue"/>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p>
        </w:tc>
        <w:tc>
          <w:tcPr>
            <w:tcW w:type="dxa" w:w="1340"/>
            <w:vMerge w:val="continue"/>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p>
        </w:tc>
        <w:tc>
          <w:tcPr>
            <w:tcW w:type="dxa" w:w="158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服务器</w:t>
            </w:r>
          </w:p>
        </w:tc>
        <w:tc>
          <w:tcPr>
            <w:tcW w:type="dxa" w:w="134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世和（定制）</w:t>
            </w:r>
          </w:p>
        </w:tc>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待定</w:t>
            </w:r>
          </w:p>
        </w:tc>
        <w:tc>
          <w:tcPr>
            <w:tcW w:type="dxa" w:w="5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生信分析与数据存储</w:t>
            </w:r>
          </w:p>
        </w:tc>
      </w:tr>
    </w:tbl>
    <w:p>
      <w:pPr>
        <w:spacing w:before="400" w:line="380"/>
        <w:ind w:right="400"/>
        <w:jc w:val="right"/>
      </w:pPr>
      <w:r>
        <w:rPr>
          <w:rFonts w:ascii="Arial" w:eastAsia="黑体" w:hAnsi="Arial"/>
          <w:b/>
          <w:bCs/>
          <w:color w:val="000000"/>
          <w:sz w:val="21"/>
          <w:szCs w:val="21"/>
        </w:rPr>
        <w:t xml:space="preserve">苏州市立医院分子诊断中心</w:t>
      </w:r>
    </w:p>
    <w:p>
      <w:pPr>
        <w:spacing w:line="380"/>
        <w:ind w:right="400"/>
        <w:jc w:val="right"/>
      </w:pPr>
      <w:r>
        <w:rPr>
          <w:rFonts w:ascii="Times New Roman" w:eastAsia="宋体" w:hAnsi="Times New Roman"/>
          <w:b w:val="false"/>
          <w:bCs w:val="false"/>
          <w:color w:val="000000"/>
          <w:sz w:val="21"/>
          <w:szCs w:val="21"/>
        </w:rPr>
        <w:t xml:space="preserve">二〇二六年九月十一日</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color w:val="000000"/>
        <w:sz w:val="21"/>
        <w:szCs w:val="21"/>
      </w:rPr>
      <w:t xml:space="preserve">— </w:t>
    </w:r>
    <w:r>
      <w:rPr>
        <w:rFonts w:ascii="Times New Roman" w:eastAsia="宋体" w:hAnsi="Times New Roman"/>
        <w:sz w:val="19"/>
        <w:szCs w:val="19"/>
      </w:rPr>
      <w:fldChar w:fldCharType="begin"/>
      <w:instrText xml:space="preserve">PAGE</w:instrText>
      <w:fldChar w:fldCharType="separate"/>
      <w:fldChar w:fldCharType="end"/>
    </w:r>
    <w:r>
      <w:rPr>
        <w:rFonts w:ascii="Times New Roman" w:eastAsia="宋体" w:hAnsi="Times New Roman"/>
        <w:b w:val="false"/>
        <w:bCs w:val="false"/>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2026-09-11T12:09:38.242Z</dcterms:created>
  <dcterms:modified xsi:type="dcterms:W3CDTF">2026-09-11T12:09:38.243Z</dcterms:modified>
</cp:coreProperties>
</file>

<file path=docProps/custom.xml><?xml version="1.0" encoding="utf-8"?>
<Properties xmlns="http://schemas.openxmlformats.org/officeDocument/2006/custom-properties" xmlns:vt="http://schemas.openxmlformats.org/officeDocument/2006/docPropsVTypes"/>
</file>