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eastAsia="黑体" w:hAnsi="Arial"/>
          <w:b w:val="false"/>
          <w:bCs w:val="false"/>
          <w:color w:val="000000"/>
          <w:spacing w:val="60"/>
          <w:sz w:val="24"/>
          <w:szCs w:val="24"/>
        </w:rPr>
        <w:t xml:space="preserve">苏州市立医院分子诊断中心</w:t>
      </w:r>
    </w:p>
    <w:p>
      <w:pPr>
        <w:spacing w:after="100" w:line="440"/>
        <w:jc w:val="center"/>
      </w:pPr>
      <w:r>
        <w:rPr>
          <w:rFonts w:ascii="Times New Roman" w:eastAsia="宋体" w:hAnsi="Times New Roman"/>
          <w:b/>
          <w:bCs/>
          <w:color w:val="000000"/>
          <w:spacing w:val="20"/>
          <w:sz w:val="44"/>
          <w:szCs w:val="44"/>
        </w:rPr>
        <w:t xml:space="preserve">肿瘤 NGS 板块方案阶段性汇报</w:t>
      </w:r>
    </w:p>
    <w:p>
      <w:pPr>
        <w:pBdr>
          <w:bottom w:val="double" w:color="000000" w:sz="6" w:space="10"/>
        </w:pBdr>
        <w:spacing w:after="200"/>
        <w:jc w:val="center"/>
      </w:pPr>
      <w:r>
        <w:rPr>
          <w:rFonts w:ascii="Times New Roman" w:eastAsia="宋体" w:hAnsi="Times New Roman"/>
          <w:b w:val="false"/>
          <w:bCs w:val="false"/>
          <w:color w:val="444444"/>
          <w:sz w:val="21"/>
          <w:szCs w:val="21"/>
        </w:rPr>
        <w:t xml:space="preserve">现阶段调研方向：太湖总院病理科现有 PCR 多分区实验室</w:t>
      </w:r>
    </w:p>
    <w:p>
      <w:pPr>
        <w:spacing w:after="120"/>
      </w:pP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1500"/>
        <w:gridCol w:w="8360"/>
      </w:tblGrid>
      <w:tr>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line="280"/>
              <w:jc w:val="left"/>
            </w:pPr>
            <w:r>
              <w:rPr>
                <w:rFonts w:ascii="Arial" w:eastAsia="黑体" w:hAnsi="Arial"/>
                <w:b w:val="false"/>
                <w:bCs w:val="false"/>
                <w:color w:val="000000"/>
                <w:sz w:val="18"/>
                <w:szCs w:val="18"/>
              </w:rPr>
              <w:t xml:space="preserve">汇 报 方</w:t>
            </w:r>
          </w:p>
        </w:tc>
        <w:tc>
          <w:tcPr>
            <w:tcW w:type="dxa" w:w="8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华大基因</w:t>
            </w:r>
          </w:p>
        </w:tc>
      </w:tr>
      <w:tr>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line="280"/>
              <w:jc w:val="left"/>
            </w:pPr>
            <w:r>
              <w:rPr>
                <w:rFonts w:ascii="Arial" w:eastAsia="黑体" w:hAnsi="Arial"/>
                <w:b w:val="false"/>
                <w:bCs w:val="false"/>
                <w:color w:val="000000"/>
                <w:sz w:val="18"/>
                <w:szCs w:val="18"/>
              </w:rPr>
              <w:t xml:space="preserve">汇报对象</w:t>
            </w:r>
          </w:p>
        </w:tc>
        <w:tc>
          <w:tcPr>
            <w:tcW w:type="dxa" w:w="8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苏州市立医院各上级职能部门</w:t>
            </w:r>
          </w:p>
        </w:tc>
      </w:tr>
      <w:tr>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line="280"/>
              <w:jc w:val="left"/>
            </w:pPr>
            <w:r>
              <w:rPr>
                <w:rFonts w:ascii="Arial" w:eastAsia="黑体" w:hAnsi="Arial"/>
                <w:b w:val="false"/>
                <w:bCs w:val="false"/>
                <w:color w:val="000000"/>
                <w:sz w:val="18"/>
                <w:szCs w:val="18"/>
              </w:rPr>
              <w:t xml:space="preserve">场　　地</w:t>
            </w:r>
          </w:p>
        </w:tc>
        <w:tc>
          <w:tcPr>
            <w:tcW w:type="dxa" w:w="8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太湖总院病理科现有 PCR 多分区实验室</w:t>
            </w:r>
          </w:p>
        </w:tc>
      </w:tr>
      <w:tr>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line="280"/>
              <w:jc w:val="left"/>
            </w:pPr>
            <w:r>
              <w:rPr>
                <w:rFonts w:ascii="Arial" w:eastAsia="黑体" w:hAnsi="Arial"/>
                <w:b w:val="false"/>
                <w:bCs w:val="false"/>
                <w:color w:val="000000"/>
                <w:sz w:val="18"/>
                <w:szCs w:val="18"/>
              </w:rPr>
              <w:t xml:space="preserve">日　　期</w:t>
            </w:r>
          </w:p>
        </w:tc>
        <w:tc>
          <w:tcPr>
            <w:tcW w:type="dxa" w:w="83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2026 年 9 月 9 日</w:t>
            </w:r>
          </w:p>
        </w:tc>
      </w:tr>
    </w:tbl>
    <w:p>
      <w:pPr>
        <w:spacing w:after="200"/>
      </w:pPr>
    </w:p>
    <w:p>
      <w:pPr>
        <w:spacing w:after="100" w:line="380"/>
        <w:ind w:firstLine="420"/>
        <w:jc w:val="both"/>
      </w:pPr>
      <w:r>
        <w:rPr>
          <w:rFonts w:ascii="Times New Roman" w:eastAsia="宋体" w:hAnsi="Times New Roman"/>
          <w:b w:val="false"/>
          <w:bCs w:val="false"/>
          <w:color w:val="000000"/>
          <w:sz w:val="21"/>
          <w:szCs w:val="21"/>
        </w:rPr>
        <w:t xml:space="preserve">根据前期多部门沟通意见与现场实地考察情况，现就分子诊断中心肿瘤 NGS 板块的分区落位、设备配置及可开展检测项目形成阶段性汇报如下，请各位领导及相关职能部门审阅并给予指导意见。</w:t>
      </w:r>
    </w:p>
    <w:p>
      <w:pPr>
        <w:keepNext/>
        <w:spacing w:after="140" w:before="320" w:line="380"/>
      </w:pPr>
      <w:r>
        <w:rPr>
          <w:rFonts w:ascii="Arial" w:eastAsia="黑体" w:hAnsi="Arial"/>
          <w:b/>
          <w:bCs/>
          <w:color w:val="000000"/>
          <w:sz w:val="25"/>
          <w:szCs w:val="25"/>
        </w:rPr>
        <w:t xml:space="preserve">一、场地与分区情况</w:t>
      </w:r>
    </w:p>
    <w:p>
      <w:pPr>
        <w:keepNext/>
        <w:spacing w:after="110" w:before="200" w:line="380"/>
      </w:pPr>
      <w:r>
        <w:rPr>
          <w:rFonts w:ascii="Arial" w:eastAsia="黑体" w:hAnsi="Arial"/>
          <w:b/>
          <w:bCs/>
          <w:color w:val="000000"/>
          <w:sz w:val="22"/>
          <w:szCs w:val="22"/>
        </w:rPr>
        <w:t xml:space="preserve">（一）总体情况</w:t>
      </w:r>
    </w:p>
    <w:p>
      <w:pPr>
        <w:spacing w:after="100" w:line="380"/>
        <w:ind w:firstLine="420"/>
        <w:jc w:val="both"/>
      </w:pPr>
      <w:r>
        <w:rPr>
          <w:rFonts w:ascii="Times New Roman" w:eastAsia="宋体" w:hAnsi="Times New Roman"/>
          <w:b w:val="false"/>
          <w:bCs w:val="false"/>
          <w:color w:val="000000"/>
          <w:sz w:val="21"/>
          <w:szCs w:val="21"/>
        </w:rPr>
        <w:t xml:space="preserve">本次调研场地为太湖总院病理科现有 PCR 多分区实验室。经现场勘察，该实验室共六个功能间，沿同一条走廊一字排开，每间均设独立缓冲间，人员经缓冲间进出。房间的物理顺序与肿瘤 NGS 检测的工艺流程方向完全一致，具备单向流条件。</w:t>
      </w:r>
      <w:r>
        <w:rPr>
          <w:rFonts w:ascii="Times New Roman" w:eastAsia="宋体" w:hAnsi="Times New Roman"/>
          <w:b/>
          <w:bCs/>
          <w:color w:val="000000"/>
          <w:sz w:val="21"/>
          <w:szCs w:val="21"/>
        </w:rPr>
        <w:t xml:space="preserve">六间房及各自缓冲间均已建成，本次不涉及新建与装修改造，仅作功能分配与设备进场。</w:t>
      </w:r>
    </w:p>
    <w:p>
      <w:pPr>
        <w:spacing w:after="100" w:line="380"/>
        <w:ind w:firstLine="420"/>
        <w:jc w:val="both"/>
      </w:pPr>
      <w:r>
        <w:rPr>
          <w:rFonts w:ascii="Times New Roman" w:eastAsia="宋体" w:hAnsi="Times New Roman"/>
          <w:b w:val="false"/>
          <w:bCs w:val="false"/>
          <w:color w:val="000000"/>
          <w:sz w:val="21"/>
          <w:szCs w:val="21"/>
        </w:rPr>
        <w:t xml:space="preserve">工艺流程自上游至下游依次为：试剂准备区（试剂准备间）→ 标本与文库制备区（PCR2）→ 血浆文库制备区（PCR3）→ 杂交捕获区（PCR4）→ 文库扩增与检测区（PCR5）→ 测序区（PCR8）。标本与文库沿此方向单向传递，人员不逆向返回上游。其中 PCR5 与 PCR8 之间尚有 PCR6、PCR7 两间，本次不予占用。</w:t>
      </w:r>
    </w:p>
    <w:p>
      <w:pPr>
        <w:keepNext/>
        <w:spacing w:after="110" w:before="200" w:line="380"/>
      </w:pPr>
      <w:r>
        <w:rPr>
          <w:rFonts w:ascii="Arial" w:eastAsia="黑体" w:hAnsi="Arial"/>
          <w:b/>
          <w:bCs/>
          <w:color w:val="000000"/>
          <w:sz w:val="22"/>
          <w:szCs w:val="22"/>
        </w:rPr>
        <w:t xml:space="preserve">（二）各功能间职能与现有条件</w:t>
      </w:r>
    </w:p>
    <w:p>
      <w:pPr>
        <w:keepNext/>
        <w:spacing w:after="80" w:before="140"/>
      </w:pPr>
      <w:r>
        <w:rPr>
          <w:rFonts w:ascii="Arial" w:eastAsia="黑体" w:hAnsi="Arial"/>
          <w:b/>
          <w:bCs/>
          <w:color w:val="000000"/>
          <w:sz w:val="20"/>
          <w:szCs w:val="20"/>
        </w:rPr>
        <w:t xml:space="preserve">表 1　六个功能间的职能划分与现有条件核验</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700"/>
        <w:gridCol w:w="1900"/>
        <w:gridCol w:w="3200"/>
        <w:gridCol w:w="3160"/>
        <w:gridCol w:w="900"/>
      </w:tblGrid>
      <w:tr>
        <w:trPr>
          <w:tblHeader/>
        </w:trPr>
        <w:tc>
          <w:tcPr>
            <w:tcW w:type="dxa" w:w="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19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功能分区（房间）</w:t>
            </w:r>
          </w:p>
        </w:tc>
        <w:tc>
          <w:tcPr>
            <w:tcW w:type="dxa" w:w="3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主要工作内容</w:t>
            </w:r>
          </w:p>
        </w:tc>
        <w:tc>
          <w:tcPr>
            <w:tcW w:type="dxa" w:w="31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现有条件核验</w:t>
            </w:r>
          </w:p>
        </w:tc>
        <w:tc>
          <w:tcPr>
            <w:tcW w:type="dxa" w:w="9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设备</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试剂准备区</w:t>
            </w:r>
          </w:p>
          <w:p>
            <w:pPr>
              <w:spacing w:line="280"/>
              <w:jc w:val="left"/>
            </w:pPr>
            <w:r>
              <w:rPr>
                <w:rFonts w:ascii="Times New Roman" w:eastAsia="宋体" w:hAnsi="Times New Roman"/>
                <w:b w:val="false"/>
                <w:bCs w:val="false"/>
                <w:color w:val="000000"/>
                <w:sz w:val="18"/>
                <w:szCs w:val="18"/>
              </w:rPr>
              <w:t xml:space="preserve">（试剂准备间）</w:t>
            </w:r>
          </w:p>
        </w:tc>
        <w:tc>
          <w:tcPr>
            <w:tcW w:type="dxa" w:w="3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配制与分装 PCR 反应体系，储存与分装试剂。全流程最洁净的一间，只出不进，样本与文库不得进入。</w:t>
            </w:r>
          </w:p>
        </w:tc>
        <w:tc>
          <w:tcPr>
            <w:tcW w:type="dxa" w:w="3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独立成间并设缓冲间，位于分区最上游，与所有含样本的房间物理隔开。满足要求。</w:t>
            </w:r>
          </w:p>
        </w:tc>
        <w:tc>
          <w:tcPr>
            <w:tcW w:type="dxa" w:w="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13 项</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标本与文库制备区</w:t>
            </w:r>
          </w:p>
          <w:p>
            <w:pPr>
              <w:spacing w:line="280"/>
              <w:jc w:val="left"/>
            </w:pPr>
            <w:r>
              <w:rPr>
                <w:rFonts w:ascii="Times New Roman" w:eastAsia="宋体" w:hAnsi="Times New Roman"/>
                <w:b w:val="false"/>
                <w:bCs w:val="false"/>
                <w:color w:val="000000"/>
                <w:sz w:val="18"/>
                <w:szCs w:val="18"/>
              </w:rPr>
              <w:t xml:space="preserve">（PCR2）</w:t>
            </w:r>
          </w:p>
        </w:tc>
        <w:tc>
          <w:tcPr>
            <w:tcW w:type="dxa" w:w="3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石蜡切片、组织样本的核酸提取与文库构建，配 A2 型生物安全柜，为全流程唯一开放操作生物样本的环节。</w:t>
            </w:r>
          </w:p>
        </w:tc>
        <w:tc>
          <w:tcPr>
            <w:tcW w:type="dxa" w:w="3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独立成间并设缓冲间，与试剂准备区完全分开，符合标本制备区的隔离要求。满足要求。</w:t>
            </w:r>
          </w:p>
        </w:tc>
        <w:tc>
          <w:tcPr>
            <w:tcW w:type="dxa" w:w="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20 项</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血浆文库制备区</w:t>
            </w:r>
          </w:p>
          <w:p>
            <w:pPr>
              <w:spacing w:line="280"/>
              <w:jc w:val="left"/>
            </w:pPr>
            <w:r>
              <w:rPr>
                <w:rFonts w:ascii="Times New Roman" w:eastAsia="宋体" w:hAnsi="Times New Roman"/>
                <w:b w:val="false"/>
                <w:bCs w:val="false"/>
                <w:color w:val="000000"/>
                <w:sz w:val="18"/>
                <w:szCs w:val="18"/>
              </w:rPr>
              <w:t xml:space="preserve">（PCR3）</w:t>
            </w:r>
          </w:p>
        </w:tc>
        <w:tc>
          <w:tcPr>
            <w:tcW w:type="dxa" w:w="3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血浆游离 DNA（cfDNA）的文库构建。单独设间是因为组织样本的 DNA 浓度远高于血浆中的 ctDNA，同室操作会淹没低丰度突变。</w:t>
            </w:r>
          </w:p>
        </w:tc>
        <w:tc>
          <w:tcPr>
            <w:tcW w:type="dxa" w:w="3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与 PCR2 相邻但完全分室，两间设备各自独立配置、不共用器具。满足要求。</w:t>
            </w:r>
          </w:p>
        </w:tc>
        <w:tc>
          <w:tcPr>
            <w:tcW w:type="dxa" w:w="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20 项</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4</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杂交捕获区</w:t>
            </w:r>
          </w:p>
          <w:p>
            <w:pPr>
              <w:spacing w:line="280"/>
              <w:jc w:val="left"/>
            </w:pPr>
            <w:r>
              <w:rPr>
                <w:rFonts w:ascii="Times New Roman" w:eastAsia="宋体" w:hAnsi="Times New Roman"/>
                <w:b w:val="false"/>
                <w:bCs w:val="false"/>
                <w:color w:val="000000"/>
                <w:sz w:val="18"/>
                <w:szCs w:val="18"/>
              </w:rPr>
              <w:t xml:space="preserve">（PCR4）</w:t>
            </w:r>
          </w:p>
        </w:tc>
        <w:tc>
          <w:tcPr>
            <w:tcW w:type="dxa" w:w="3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探针杂交、磁珠捕获与洗脱，将目标基因区域从全基因组文库中富集出来。</w:t>
            </w:r>
          </w:p>
        </w:tc>
        <w:tc>
          <w:tcPr>
            <w:tcW w:type="dxa" w:w="3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全部为台面器械，无大型落地设备，房间尺寸满足器械摆放需要。满足要求。</w:t>
            </w:r>
          </w:p>
        </w:tc>
        <w:tc>
          <w:tcPr>
            <w:tcW w:type="dxa" w:w="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21 项</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5</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文库扩增与检测区</w:t>
            </w:r>
          </w:p>
          <w:p>
            <w:pPr>
              <w:spacing w:line="280"/>
              <w:jc w:val="left"/>
            </w:pPr>
            <w:r>
              <w:rPr>
                <w:rFonts w:ascii="Times New Roman" w:eastAsia="宋体" w:hAnsi="Times New Roman"/>
                <w:b w:val="false"/>
                <w:bCs w:val="false"/>
                <w:color w:val="000000"/>
                <w:sz w:val="18"/>
                <w:szCs w:val="18"/>
              </w:rPr>
              <w:t xml:space="preserve">（PCR5）</w:t>
            </w:r>
          </w:p>
        </w:tc>
        <w:tc>
          <w:tcPr>
            <w:tcW w:type="dxa" w:w="3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捕获后文库扩增，以及上机前质检：毛细管电泳检测片段分布、荧光定量检测浓度，两项合格方可上机。</w:t>
            </w:r>
          </w:p>
        </w:tc>
        <w:tc>
          <w:tcPr>
            <w:tcW w:type="dxa" w:w="3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位于分区下游、独立成间，与上游建库各间物理分离。自本间起有大量扩增产物，人员与物品不得返回上游。满足要求。</w:t>
            </w:r>
          </w:p>
        </w:tc>
        <w:tc>
          <w:tcPr>
            <w:tcW w:type="dxa" w:w="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14 项</w:t>
            </w:r>
          </w:p>
        </w:tc>
      </w:tr>
      <w:tr>
        <w:tc>
          <w:tcPr>
            <w:tcW w:type="dxa" w:w="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9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测序区</w:t>
            </w:r>
          </w:p>
          <w:p>
            <w:pPr>
              <w:spacing w:line="280"/>
              <w:jc w:val="left"/>
            </w:pPr>
            <w:r>
              <w:rPr>
                <w:rFonts w:ascii="Times New Roman" w:eastAsia="宋体" w:hAnsi="Times New Roman"/>
                <w:b w:val="false"/>
                <w:bCs w:val="false"/>
                <w:color w:val="000000"/>
                <w:sz w:val="18"/>
                <w:szCs w:val="18"/>
              </w:rPr>
              <w:t xml:space="preserve">（PCR8）</w:t>
            </w:r>
          </w:p>
        </w:tc>
        <w:tc>
          <w:tcPr>
            <w:tcW w:type="dxa" w:w="32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上机测序，并由分析解读一体机完成数据分析与报告解读，为全流程终点。</w:t>
            </w:r>
          </w:p>
        </w:tc>
        <w:tc>
          <w:tcPr>
            <w:tcW w:type="dxa" w:w="31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位于流程末端，与建库各间物理分离，扩增产物不会反向污染上游。满足要求。</w:t>
            </w:r>
          </w:p>
        </w:tc>
        <w:tc>
          <w:tcPr>
            <w:tcW w:type="dxa" w:w="9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 项</w:t>
            </w:r>
          </w:p>
        </w:tc>
      </w:tr>
    </w:tbl>
    <w:p>
      <w:pPr>
        <w:spacing w:after="120" w:before="90" w:line="320"/>
        <w:ind w:firstLine="380"/>
        <w:jc w:val="both"/>
      </w:pPr>
      <w:r>
        <w:rPr>
          <w:rFonts w:ascii="Times New Roman" w:eastAsia="宋体" w:hAnsi="Times New Roman"/>
          <w:b w:val="false"/>
          <w:bCs w:val="false"/>
          <w:color w:val="000000"/>
          <w:sz w:val="19"/>
          <w:szCs w:val="19"/>
        </w:rPr>
        <w:t xml:space="preserve">注：表中「设备」为该功能间应配置的设备与器具项数，明细见第二部分。</w:t>
      </w:r>
    </w:p>
    <w:p>
      <w:pPr>
        <w:keepNext/>
        <w:spacing w:after="140" w:before="320" w:line="380"/>
      </w:pPr>
      <w:r>
        <w:rPr>
          <w:rFonts w:ascii="Arial" w:eastAsia="黑体" w:hAnsi="Arial"/>
          <w:b/>
          <w:bCs/>
          <w:color w:val="000000"/>
          <w:sz w:val="25"/>
          <w:szCs w:val="25"/>
        </w:rPr>
        <w:t xml:space="preserve">二、设备配置清单</w:t>
      </w:r>
    </w:p>
    <w:p>
      <w:pPr>
        <w:keepNext/>
        <w:spacing w:after="110" w:before="200" w:line="380"/>
      </w:pPr>
      <w:r>
        <w:rPr>
          <w:rFonts w:ascii="Arial" w:eastAsia="黑体" w:hAnsi="Arial"/>
          <w:b/>
          <w:bCs/>
          <w:color w:val="000000"/>
          <w:sz w:val="22"/>
          <w:szCs w:val="22"/>
        </w:rPr>
        <w:t xml:space="preserve">（一）配置原则</w:t>
      </w:r>
    </w:p>
    <w:p>
      <w:pPr>
        <w:spacing w:after="100" w:line="380"/>
        <w:ind w:firstLine="420"/>
        <w:jc w:val="both"/>
      </w:pPr>
      <w:r>
        <w:rPr>
          <w:rFonts w:ascii="Times New Roman" w:eastAsia="宋体" w:hAnsi="Times New Roman"/>
          <w:b w:val="false"/>
          <w:bCs w:val="false"/>
          <w:color w:val="000000"/>
          <w:sz w:val="21"/>
          <w:szCs w:val="21"/>
        </w:rPr>
        <w:t xml:space="preserve">本清单按六个功能分区列明设备与器具配置，作为配置比对与补齐的依据。</w:t>
      </w:r>
      <w:r>
        <w:rPr>
          <w:rFonts w:ascii="Times New Roman" w:eastAsia="宋体" w:hAnsi="Times New Roman"/>
          <w:b/>
          <w:bCs/>
          <w:color w:val="000000"/>
          <w:sz w:val="21"/>
          <w:szCs w:val="21"/>
        </w:rPr>
        <w:t xml:space="preserve">实验室现有设备经核验符合参数要求的予以沿用，缺配部分按本清单补齐</w:t>
      </w:r>
      <w:r>
        <w:rPr>
          <w:rFonts w:ascii="Times New Roman" w:eastAsia="宋体" w:hAnsi="Times New Roman"/>
          <w:b w:val="false"/>
          <w:bCs w:val="false"/>
          <w:color w:val="000000"/>
          <w:sz w:val="21"/>
          <w:szCs w:val="21"/>
        </w:rPr>
        <w:t xml:space="preserve">；在满足参数要求的前提下，具体品牌与型号可结合实验室现行使用习惯另行商定，不以本清单所列型号为限。</w:t>
      </w:r>
    </w:p>
    <w:p>
      <w:pPr>
        <w:spacing w:after="100" w:line="380"/>
        <w:ind w:firstLine="420"/>
        <w:jc w:val="both"/>
      </w:pPr>
      <w:r>
        <w:rPr>
          <w:rFonts w:ascii="Times New Roman" w:eastAsia="宋体" w:hAnsi="Times New Roman"/>
          <w:b w:val="false"/>
          <w:bCs w:val="false"/>
          <w:color w:val="000000"/>
          <w:sz w:val="21"/>
          <w:szCs w:val="21"/>
        </w:rPr>
        <w:t xml:space="preserve">本清单共 91 项，为设备与器具配置，试剂耗材清单另行出具。清单中同型号移液器已按功能间合并列示，产品编码完整保留；另有物料编码（EQP 及 1000 系列）在原始清单中一一对应，采购时可一并提供。</w:t>
      </w:r>
    </w:p>
    <w:p>
      <w:pPr>
        <w:keepNext/>
        <w:spacing w:after="110" w:before="200" w:line="380"/>
      </w:pPr>
      <w:r>
        <w:rPr>
          <w:rFonts w:ascii="Arial" w:eastAsia="黑体" w:hAnsi="Arial"/>
          <w:b/>
          <w:bCs/>
          <w:color w:val="000000"/>
          <w:sz w:val="22"/>
          <w:szCs w:val="22"/>
        </w:rPr>
        <w:t xml:space="preserve">（二）分区配置明细</w:t>
      </w:r>
    </w:p>
    <w:p>
      <w:pPr>
        <w:keepNext/>
        <w:spacing w:after="80" w:before="140"/>
      </w:pPr>
      <w:r>
        <w:rPr>
          <w:rFonts w:ascii="Arial" w:eastAsia="黑体" w:hAnsi="Arial"/>
          <w:b/>
          <w:bCs/>
          <w:color w:val="000000"/>
          <w:sz w:val="20"/>
          <w:szCs w:val="20"/>
        </w:rPr>
        <w:t xml:space="preserve">表 2　设备与器具配置明细（按功能间分组，共 91 项）</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1900"/>
        <w:gridCol w:w="3300"/>
        <w:gridCol w:w="1800"/>
        <w:gridCol w:w="2060"/>
        <w:gridCol w:w="800"/>
      </w:tblGrid>
      <w:tr>
        <w:trPr>
          <w:tblHeader/>
        </w:trPr>
        <w:tc>
          <w:tcPr>
            <w:tcW w:type="dxa" w:w="19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产品编码</w:t>
            </w:r>
          </w:p>
        </w:tc>
        <w:tc>
          <w:tcPr>
            <w:tcW w:type="dxa" w:w="33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产品名称</w:t>
            </w:r>
          </w:p>
        </w:tc>
        <w:tc>
          <w:tcPr>
            <w:tcW w:type="dxa" w:w="18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设备名称</w:t>
            </w:r>
          </w:p>
        </w:tc>
        <w:tc>
          <w:tcPr>
            <w:tcW w:type="dxa" w:w="20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参数要求</w:t>
            </w:r>
          </w:p>
        </w:tc>
        <w:tc>
          <w:tcPr>
            <w:tcW w:type="dxa" w:w="8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数量</w:t>
            </w:r>
          </w:p>
        </w:tc>
      </w:tr>
      <w:tr>
        <w:tc>
          <w:tcPr>
            <w:tcW w:type="dxa" w:w="9860"/>
            <w:gridSpan w:val="5"/>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试剂准备间　试剂准备区　（13 项 / 13 台件）</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MA0051</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澳柯玛超净工作台</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超净工作台</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ACB-1300V/双人;垂直单流向</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MA0242</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锐思捷 UNIQ-G1 纯水仪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纯水仪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电导率18.2MΩ</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MA0086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MA0060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MA0240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MA0447</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MA0893 / MA0894 / MA0895 / MA0896 / MA0897 / MA0898</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单道移液器（0.1-2.0µl；0.5-10µl；2-20µl；10-100µl；20-200µl；100-1000µl）</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9860"/>
            <w:gridSpan w:val="5"/>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PCR2　标本与文库制备区　（20 项 / 20 台件）</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MA0086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MA0060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MA0240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MA0447</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MA0369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 ETC-821M 基因扩增仪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必需品</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MA0059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 HT165R 离心机</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1.5ml转子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MA0573</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碳环智造Mag-16W 1.5mL离心管磁力架</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16头；16孔(凹）;离心管用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碳环智造Mag-96A 96孔磁力架（八排管）</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八排管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MA0070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苏净安泰 BSC-1304ⅡA2 生物安全柜</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二级，1500*815*2270mm</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MA0673</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恒温混匀仪-瑞诚仪器</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96孔+1.5模块</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MA0893 / MA0894 / MA0895 / MA0896 / MA0897 / MA0898</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单道移液器（0.1-2.0µl；0.5-10µl；2-20µl；10-100µl；20-200µl；100-1000µl）</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MA0914 / MA0892 / MA0915</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八道移液器（0.5-10 µl；5-50 µl；30-300 µl）</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r>
      <w:tr>
        <w:tc>
          <w:tcPr>
            <w:tcW w:type="dxa" w:w="9860"/>
            <w:gridSpan w:val="5"/>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PCR3　血浆文库制备区　（20 项 / 20 台件）</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MA0086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MA0060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MA0240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MA0447</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MA0369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 ETC-821M 基因扩增仪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必需品</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MA0059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 HT165R 离心机</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1.5ml转子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MA0573</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碳环智造Mag-16W 1.5mL离心管磁力架</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16头；16孔(凹）;离心管用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碳环智造Mag-96A 96孔磁力架（八排管）</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八排管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MA0070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苏净安泰 BSC-1304ⅡA2 生物安全柜</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二级，1500*815*2270mm</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MA0673</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恒温混匀仪-瑞诚仪器</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96孔+1.5模块</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MA0893 / MA0894 / MA0895 / MA0896 / MA0897 / MA0898</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单道移液器（0.1-2.0µl；0.5-10µl；2-20µl；10-100µl；20-200µl；100-1000µl）</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MA0914 / MA0892 / MA0915</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八道移液器（0.5-10 µl；5-50 µl；30-300 µl）</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r>
      <w:tr>
        <w:tc>
          <w:tcPr>
            <w:tcW w:type="dxa" w:w="9860"/>
            <w:gridSpan w:val="5"/>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PCR4　杂交捕获区　（21 项 / 21 台件）</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MA0086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MA0060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MA0240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MA0447</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MA0369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 ETC-821M 基因扩增仪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必需品</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MA0570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拓赫HS-3垂直混匀仪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垂直混匀仪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MA0059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 HT165R 离心机</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1.5ml转子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MA0573</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碳环智造Mag-16W 1.5mL离心管磁力架</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16头；16孔(凹）;离心管用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碳环智造Mag-96A 96孔磁力架（八排管）</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八排管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MA0673</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恒温混匀仪-瑞诚仪器</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96孔+1.5模块</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MA0670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荧光计/杭州奥盛/Fluo-200</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MA0893 / MA0894 / MA0895 / MA0896 / MA0897 / MA0898</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单道移液器（0.1-2.0µl；0.5-10µl；2-20µl；10-100µl；20-200µl；100-1000µl）</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MA0914 / MA0892 / MA0915</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八道移液器（0.5-10 µl；5-50 µl；30-300 µl）</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r>
      <w:tr>
        <w:tc>
          <w:tcPr>
            <w:tcW w:type="dxa" w:w="9860"/>
            <w:gridSpan w:val="5"/>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PCR5　文库扩增与检测区　（14 项 / 14 台件）</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MA0086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MA0060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MA0240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MA0446</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MA0447</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MA0369</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 ETC-821M 基因扩增仪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必需品</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MA0670</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荧光计/杭州奥盛/Fluo-200</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MA0245</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全自动毛细管电泳仪/浙江光鼎/规格&amp;Qsep1</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全自动毛细管电泳仪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MA0893 / MA0894 / MA0895 / MA0896 / MA0897 / MA0898</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单道移液器（0.1-2.0µl；0.5-10µl；2-20µl；10-100µl；20-200µl；100-1000µl）</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9860"/>
            <w:gridSpan w:val="5"/>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PCR8　测序区　（3 项 / 3 台件）</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MA0238</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欧井 OJ-501E 抽湿机</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抽湿机</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根据实验室实际情况来进行配置</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MA0168</w:t>
            </w:r>
          </w:p>
        </w:tc>
        <w:tc>
          <w:tcPr>
            <w:tcW w:type="dxa" w:w="3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MGISEQ-2000 基因测序仪</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MGISEQ-2000 基因组测序仪</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MGISEQ-2000测序仪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MA0453</w:t>
            </w:r>
          </w:p>
        </w:tc>
        <w:tc>
          <w:tcPr>
            <w:tcW w:type="dxa" w:w="33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Halos 肿瘤基因检测数据分析解读 一体机</w:t>
            </w:r>
          </w:p>
        </w:tc>
        <w:tc>
          <w:tcPr>
            <w:tcW w:type="dxa" w:w="18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分析解读一体机</w:t>
            </w:r>
          </w:p>
        </w:tc>
        <w:tc>
          <w:tcPr>
            <w:tcW w:type="dxa" w:w="20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8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bl>
    <w:p>
      <w:pPr>
        <w:keepNext/>
        <w:spacing w:after="140" w:before="320" w:line="380"/>
      </w:pPr>
      <w:r>
        <w:rPr>
          <w:rFonts w:ascii="Arial" w:eastAsia="黑体" w:hAnsi="Arial"/>
          <w:b/>
          <w:bCs/>
          <w:color w:val="000000"/>
          <w:sz w:val="25"/>
          <w:szCs w:val="25"/>
        </w:rPr>
        <w:t xml:space="preserve">三、可开展检测项目与收费</w:t>
      </w:r>
    </w:p>
    <w:p>
      <w:pPr>
        <w:keepNext/>
        <w:spacing w:after="110" w:before="200" w:line="380"/>
      </w:pPr>
      <w:r>
        <w:rPr>
          <w:rFonts w:ascii="Arial" w:eastAsia="黑体" w:hAnsi="Arial"/>
          <w:b/>
          <w:bCs/>
          <w:color w:val="000000"/>
          <w:sz w:val="22"/>
          <w:szCs w:val="22"/>
        </w:rPr>
        <w:t xml:space="preserve">（一）已明确物价的检测项目</w:t>
      </w:r>
    </w:p>
    <w:p>
      <w:pPr>
        <w:spacing w:after="100" w:line="380"/>
        <w:ind w:firstLine="420"/>
        <w:jc w:val="both"/>
      </w:pPr>
      <w:r>
        <w:rPr>
          <w:rFonts w:ascii="Times New Roman" w:eastAsia="宋体" w:hAnsi="Times New Roman"/>
          <w:b w:val="false"/>
          <w:bCs w:val="false"/>
          <w:color w:val="000000"/>
          <w:sz w:val="21"/>
          <w:szCs w:val="21"/>
        </w:rPr>
        <w:t xml:space="preserve">下列五个试剂盒均已取得国家药品监督管理局第三类医疗器械注册证，属已注册体外诊断试剂路径，非实验室自建项目（LDT），报批与合规风险相对较低。五项共用收费编码 012100000200000「高通量测序法检测费（病理样本）」，价格已在物价目录内。</w:t>
      </w:r>
    </w:p>
    <w:p>
      <w:pPr>
        <w:keepNext/>
        <w:spacing w:after="80" w:before="140"/>
      </w:pPr>
      <w:r>
        <w:rPr>
          <w:rFonts w:ascii="Arial" w:eastAsia="黑体" w:hAnsi="Arial"/>
          <w:b/>
          <w:bCs/>
          <w:color w:val="000000"/>
          <w:sz w:val="20"/>
          <w:szCs w:val="20"/>
        </w:rPr>
        <w:t xml:space="preserve">表 3　已明确物价的可开展检测项目</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600"/>
        <w:gridCol w:w="3000"/>
        <w:gridCol w:w="1700"/>
        <w:gridCol w:w="1200"/>
        <w:gridCol w:w="2160"/>
        <w:gridCol w:w="1200"/>
      </w:tblGrid>
      <w:tr>
        <w:trPr>
          <w:tblHeader/>
        </w:trPr>
        <w:tc>
          <w:tcPr>
            <w:tcW w:type="dxa" w:w="6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30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试剂盒名称 / 生产厂家</w:t>
            </w:r>
          </w:p>
        </w:tc>
        <w:tc>
          <w:tcPr>
            <w:tcW w:type="dxa" w:w="1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注册证编号</w:t>
            </w:r>
          </w:p>
        </w:tc>
        <w:tc>
          <w:tcPr>
            <w:tcW w:type="dxa" w:w="1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注册适用范围</w:t>
            </w:r>
          </w:p>
        </w:tc>
        <w:tc>
          <w:tcPr>
            <w:tcW w:type="dxa" w:w="21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可拓展适用范围</w:t>
            </w:r>
          </w:p>
        </w:tc>
        <w:tc>
          <w:tcPr>
            <w:tcW w:type="dxa" w:w="1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物价收费</w:t>
            </w:r>
          </w:p>
        </w:tc>
      </w:tr>
      <w:tr>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3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EGFR/KRAS/ALK基因突变联合检测试剂盒（联合探针锚定聚合测序法）</w:t>
            </w:r>
          </w:p>
          <w:p>
            <w:pPr>
              <w:spacing w:line="280"/>
              <w:jc w:val="left"/>
            </w:pPr>
            <w:r>
              <w:rPr>
                <w:rFonts w:ascii="Times New Roman" w:eastAsia="宋体" w:hAnsi="Times New Roman"/>
                <w:b w:val="false"/>
                <w:bCs w:val="false"/>
                <w:color w:val="000000"/>
                <w:sz w:val="18"/>
                <w:szCs w:val="18"/>
              </w:rPr>
              <w:t xml:space="preserve">华大生物科技（武汉）有限公司</w:t>
            </w:r>
          </w:p>
        </w:tc>
        <w:tc>
          <w:tcPr>
            <w:tcW w:type="dxa" w:w="1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国械注准20193400621</w:t>
            </w:r>
          </w:p>
        </w:tc>
        <w:tc>
          <w:tcPr>
            <w:tcW w:type="dxa" w:w="1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肺癌</w:t>
            </w:r>
          </w:p>
        </w:tc>
        <w:tc>
          <w:tcPr>
            <w:tcW w:type="dxa" w:w="2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结直肠癌，胃癌，肝癌，胃肠道间质瘤，乳腺癌</w:t>
            </w:r>
          </w:p>
        </w:tc>
        <w:tc>
          <w:tcPr>
            <w:tcW w:type="dxa" w:w="1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4,500 元</w:t>
            </w:r>
          </w:p>
        </w:tc>
      </w:tr>
      <w:tr>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3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人KRAS/BRAF/PIK3CA基因突变检测试剂盒（可逆末端终止测序法）</w:t>
            </w:r>
          </w:p>
          <w:p>
            <w:pPr>
              <w:spacing w:line="280"/>
              <w:jc w:val="left"/>
            </w:pPr>
            <w:r>
              <w:rPr>
                <w:rFonts w:ascii="Times New Roman" w:eastAsia="宋体" w:hAnsi="Times New Roman"/>
                <w:b w:val="false"/>
                <w:bCs w:val="false"/>
                <w:color w:val="000000"/>
                <w:sz w:val="18"/>
                <w:szCs w:val="18"/>
              </w:rPr>
              <w:t xml:space="preserve">上海思路迪生物医学科技有限公司</w:t>
            </w:r>
          </w:p>
        </w:tc>
        <w:tc>
          <w:tcPr>
            <w:tcW w:type="dxa" w:w="1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国械注准20223400638</w:t>
            </w:r>
          </w:p>
        </w:tc>
        <w:tc>
          <w:tcPr>
            <w:tcW w:type="dxa" w:w="1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结直肠癌</w:t>
            </w:r>
          </w:p>
        </w:tc>
        <w:tc>
          <w:tcPr>
            <w:tcW w:type="dxa" w:w="2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消化道肿瘤（胰腺癌除外）、肺癌、子宫内膜癌</w:t>
            </w:r>
          </w:p>
        </w:tc>
        <w:tc>
          <w:tcPr>
            <w:tcW w:type="dxa" w:w="1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4,500 元</w:t>
            </w:r>
          </w:p>
        </w:tc>
      </w:tr>
      <w:tr>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3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NTRK1/NTRK2/NTRK3基因融合检测试剂盒(可逆末端终止测序法)</w:t>
            </w:r>
          </w:p>
          <w:p>
            <w:pPr>
              <w:spacing w:line="280"/>
              <w:jc w:val="left"/>
            </w:pPr>
            <w:r>
              <w:rPr>
                <w:rFonts w:ascii="Times New Roman" w:eastAsia="宋体" w:hAnsi="Times New Roman"/>
                <w:b w:val="false"/>
                <w:bCs w:val="false"/>
                <w:color w:val="000000"/>
                <w:sz w:val="18"/>
                <w:szCs w:val="18"/>
              </w:rPr>
              <w:t xml:space="preserve">南京世和医疗器械有限公司</w:t>
            </w:r>
          </w:p>
        </w:tc>
        <w:tc>
          <w:tcPr>
            <w:tcW w:type="dxa" w:w="1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国械注准20253402191</w:t>
            </w:r>
          </w:p>
        </w:tc>
        <w:tc>
          <w:tcPr>
            <w:tcW w:type="dxa" w:w="1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实体瘤</w:t>
            </w:r>
          </w:p>
        </w:tc>
        <w:tc>
          <w:tcPr>
            <w:tcW w:type="dxa" w:w="2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实体瘤</w:t>
            </w:r>
          </w:p>
        </w:tc>
        <w:tc>
          <w:tcPr>
            <w:tcW w:type="dxa" w:w="1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4,500 元</w:t>
            </w:r>
          </w:p>
        </w:tc>
      </w:tr>
      <w:tr>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4</w:t>
            </w:r>
          </w:p>
        </w:tc>
        <w:tc>
          <w:tcPr>
            <w:tcW w:type="dxa" w:w="3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EGFR/ALK/ROS1/BRAF/KRAS/HER2基因突变检测试剂盒(可逆末端终止测序法)</w:t>
            </w:r>
          </w:p>
          <w:p>
            <w:pPr>
              <w:spacing w:line="280"/>
              <w:jc w:val="left"/>
            </w:pPr>
            <w:r>
              <w:rPr>
                <w:rFonts w:ascii="Times New Roman" w:eastAsia="宋体" w:hAnsi="Times New Roman"/>
                <w:b w:val="false"/>
                <w:bCs w:val="false"/>
                <w:color w:val="000000"/>
                <w:sz w:val="18"/>
                <w:szCs w:val="18"/>
              </w:rPr>
              <w:t xml:space="preserve">南京世和医疗器械有限公司</w:t>
            </w:r>
          </w:p>
        </w:tc>
        <w:tc>
          <w:tcPr>
            <w:tcW w:type="dxa" w:w="1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国械注准20183400408</w:t>
            </w:r>
          </w:p>
        </w:tc>
        <w:tc>
          <w:tcPr>
            <w:tcW w:type="dxa" w:w="1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肺癌</w:t>
            </w:r>
          </w:p>
        </w:tc>
        <w:tc>
          <w:tcPr>
            <w:tcW w:type="dxa" w:w="2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1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7,000 元</w:t>
            </w:r>
          </w:p>
        </w:tc>
      </w:tr>
      <w:tr>
        <w:tc>
          <w:tcPr>
            <w:tcW w:type="dxa" w:w="6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5</w:t>
            </w:r>
          </w:p>
        </w:tc>
        <w:tc>
          <w:tcPr>
            <w:tcW w:type="dxa" w:w="30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非小细胞肺癌组织TMB检测试剂盒（可逆末端终止测序法）</w:t>
            </w:r>
          </w:p>
          <w:p>
            <w:pPr>
              <w:spacing w:line="280"/>
              <w:jc w:val="left"/>
            </w:pPr>
            <w:r>
              <w:rPr>
                <w:rFonts w:ascii="Times New Roman" w:eastAsia="宋体" w:hAnsi="Times New Roman"/>
                <w:b w:val="false"/>
                <w:bCs w:val="false"/>
                <w:color w:val="000000"/>
                <w:sz w:val="18"/>
                <w:szCs w:val="18"/>
              </w:rPr>
              <w:t xml:space="preserve">南京世和医疗器械有限公司</w:t>
            </w:r>
          </w:p>
        </w:tc>
        <w:tc>
          <w:tcPr>
            <w:tcW w:type="dxa" w:w="1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国械注准20233401452</w:t>
            </w:r>
          </w:p>
        </w:tc>
        <w:tc>
          <w:tcPr>
            <w:tcW w:type="dxa" w:w="12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肺癌TMB</w:t>
            </w:r>
          </w:p>
        </w:tc>
        <w:tc>
          <w:tcPr>
            <w:tcW w:type="dxa" w:w="21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全实体瘤如肠癌、胃癌乳腺癌、泌尿系统肿瘤、子宫内膜癌、卵巢癌、甲状腺癌、肝胆胰系统肿瘤、黑色素瘤等、胃肠道间质瘤等</w:t>
            </w:r>
          </w:p>
        </w:tc>
        <w:tc>
          <w:tcPr>
            <w:tcW w:type="dxa" w:w="12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9,900 元</w:t>
            </w:r>
          </w:p>
        </w:tc>
      </w:tr>
    </w:tbl>
    <w:p>
      <w:pPr>
        <w:spacing w:after="120" w:before="90" w:line="320"/>
        <w:ind w:firstLine="380"/>
        <w:jc w:val="both"/>
      </w:pPr>
      <w:r>
        <w:rPr>
          <w:rFonts w:ascii="Times New Roman" w:eastAsia="宋体" w:hAnsi="Times New Roman"/>
          <w:b w:val="false"/>
          <w:bCs w:val="false"/>
          <w:color w:val="000000"/>
          <w:sz w:val="19"/>
          <w:szCs w:val="19"/>
        </w:rPr>
        <w:t xml:space="preserve">注：「可拓展适用范围」指注册证适应证之外、临床有实际需求的瘤种，开展前需按院内规定完成新增项目论证与备案。</w:t>
      </w:r>
    </w:p>
    <w:p>
      <w:pPr>
        <w:keepNext/>
        <w:spacing w:after="110" w:before="200" w:line="380"/>
      </w:pPr>
      <w:r>
        <w:rPr>
          <w:rFonts w:ascii="Arial" w:eastAsia="黑体" w:hAnsi="Arial"/>
          <w:b/>
          <w:bCs/>
          <w:color w:val="000000"/>
          <w:sz w:val="22"/>
          <w:szCs w:val="22"/>
        </w:rPr>
        <w:t xml:space="preserve">（二）其他已注册可选试剂盒（参考）</w:t>
      </w:r>
    </w:p>
    <w:p>
      <w:pPr>
        <w:spacing w:after="100" w:line="380"/>
        <w:ind w:firstLine="420"/>
        <w:jc w:val="both"/>
      </w:pPr>
      <w:r>
        <w:rPr>
          <w:rFonts w:ascii="Times New Roman" w:eastAsia="宋体" w:hAnsi="Times New Roman"/>
          <w:b w:val="false"/>
          <w:bCs w:val="false"/>
          <w:color w:val="000000"/>
          <w:sz w:val="21"/>
          <w:szCs w:val="21"/>
        </w:rPr>
        <w:t xml:space="preserve">上表之外，国内已取得第三类注册证的同类产品尚有多个，可在同一平台上按临床需求扩充项目菜单。下列两项为 PARP 抑制剂的伴随诊断试剂，覆盖卵巢癌、乳腺癌与前列腺癌，</w:t>
      </w:r>
      <w:r>
        <w:rPr>
          <w:rFonts w:ascii="Times New Roman" w:eastAsia="宋体" w:hAnsi="Times New Roman"/>
          <w:b/>
          <w:bCs/>
          <w:color w:val="000000"/>
          <w:sz w:val="21"/>
          <w:szCs w:val="21"/>
        </w:rPr>
        <w:t xml:space="preserve">与上表以肺癌、结直肠癌为主的项目菜单互补，不重复</w:t>
      </w:r>
      <w:r>
        <w:rPr>
          <w:rFonts w:ascii="Times New Roman" w:eastAsia="宋体" w:hAnsi="Times New Roman"/>
          <w:b w:val="false"/>
          <w:bCs w:val="false"/>
          <w:color w:val="000000"/>
          <w:sz w:val="21"/>
          <w:szCs w:val="21"/>
        </w:rPr>
        <w:t xml:space="preserve">。</w:t>
      </w:r>
    </w:p>
    <w:p>
      <w:pPr>
        <w:keepNext/>
        <w:spacing w:after="80" w:before="140"/>
      </w:pPr>
      <w:r>
        <w:rPr>
          <w:rFonts w:ascii="Arial" w:eastAsia="黑体" w:hAnsi="Arial"/>
          <w:b/>
          <w:bCs/>
          <w:color w:val="000000"/>
          <w:sz w:val="20"/>
          <w:szCs w:val="20"/>
        </w:rPr>
        <w:t xml:space="preserve">表 4　其他已注册可选试剂盒</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1700"/>
        <w:gridCol w:w="2800"/>
        <w:gridCol w:w="1200"/>
        <w:gridCol w:w="4160"/>
      </w:tblGrid>
      <w:tr>
        <w:trPr>
          <w:tblHeader/>
        </w:trPr>
        <w:tc>
          <w:tcPr>
            <w:tcW w:type="dxa" w:w="1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注册证编号</w:t>
            </w:r>
          </w:p>
        </w:tc>
        <w:tc>
          <w:tcPr>
            <w:tcW w:type="dxa" w:w="28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试剂盒名称 / 生产厂家</w:t>
            </w:r>
          </w:p>
        </w:tc>
        <w:tc>
          <w:tcPr>
            <w:tcW w:type="dxa" w:w="1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注册适用范围</w:t>
            </w:r>
          </w:p>
        </w:tc>
        <w:tc>
          <w:tcPr>
            <w:tcW w:type="dxa" w:w="41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说明</w:t>
            </w:r>
          </w:p>
        </w:tc>
      </w:tr>
      <w:tr>
        <w:tc>
          <w:tcPr>
            <w:tcW w:type="dxa" w:w="1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国械注准20193400099</w:t>
            </w:r>
          </w:p>
        </w:tc>
        <w:tc>
          <w:tcPr>
            <w:tcW w:type="dxa" w:w="2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人类BRCA1基因和BRCA2基因突变检测试剂盒（可逆末端终止测序法）</w:t>
            </w:r>
          </w:p>
          <w:p>
            <w:pPr>
              <w:spacing w:line="280"/>
              <w:jc w:val="left"/>
            </w:pPr>
            <w:r>
              <w:rPr>
                <w:rFonts w:ascii="Times New Roman" w:eastAsia="宋体" w:hAnsi="Times New Roman"/>
                <w:b w:val="false"/>
                <w:bCs w:val="false"/>
                <w:color w:val="000000"/>
                <w:sz w:val="18"/>
                <w:szCs w:val="18"/>
              </w:rPr>
              <w:t xml:space="preserve">厦门艾德生物医药科技股份有限公司</w:t>
            </w:r>
          </w:p>
        </w:tc>
        <w:tc>
          <w:tcPr>
            <w:tcW w:type="dxa" w:w="1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卵巢癌、乳腺癌</w:t>
            </w:r>
          </w:p>
        </w:tc>
        <w:tc>
          <w:tcPr>
            <w:tcW w:type="dxa" w:w="4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检测 BRCA1 / BRCA2 编码区、外显子-内含子连接区、UTR 区与启动子区的点突变、插入缺失及纯合缺失；用于帕米帕利等 PARP 抑制剂的用药指导</w:t>
            </w:r>
          </w:p>
        </w:tc>
      </w:tr>
      <w:tr>
        <w:tc>
          <w:tcPr>
            <w:tcW w:type="dxa" w:w="1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国械注准20253402685</w:t>
            </w:r>
          </w:p>
        </w:tc>
        <w:tc>
          <w:tcPr>
            <w:tcW w:type="dxa" w:w="28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人BRCA1/BRCA2基因突变检测试剂盒（可逆末端终止测序法）</w:t>
            </w:r>
          </w:p>
          <w:p>
            <w:pPr>
              <w:spacing w:line="280"/>
              <w:jc w:val="left"/>
            </w:pPr>
            <w:r>
              <w:rPr>
                <w:rFonts w:ascii="Times New Roman" w:eastAsia="宋体" w:hAnsi="Times New Roman"/>
                <w:b w:val="false"/>
                <w:bCs w:val="false"/>
                <w:color w:val="000000"/>
                <w:sz w:val="18"/>
                <w:szCs w:val="18"/>
              </w:rPr>
              <w:t xml:space="preserve">厦门艾德生物医药科技股份有限公司</w:t>
            </w:r>
          </w:p>
        </w:tc>
        <w:tc>
          <w:tcPr>
            <w:tcW w:type="dxa" w:w="12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前列腺癌</w:t>
            </w:r>
          </w:p>
        </w:tc>
        <w:tc>
          <w:tcPr>
            <w:tcW w:type="dxa" w:w="41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用于携带胚系和／或体系 BRCA 基因突变的转移性去势抵抗性前列腺癌（mCRPC）；泽倍珂®（尼拉帕利阿比特龙片）的伴随诊断</w:t>
            </w:r>
          </w:p>
        </w:tc>
      </w:tr>
    </w:tbl>
    <w:p>
      <w:pPr>
        <w:spacing w:after="120" w:before="90" w:line="320"/>
        <w:ind w:firstLine="380"/>
        <w:jc w:val="both"/>
      </w:pPr>
      <w:r>
        <w:rPr>
          <w:rFonts w:ascii="Times New Roman" w:eastAsia="宋体" w:hAnsi="Times New Roman"/>
          <w:b w:val="false"/>
          <w:bCs w:val="false"/>
          <w:color w:val="000000"/>
          <w:sz w:val="19"/>
          <w:szCs w:val="19"/>
        </w:rPr>
        <w:t xml:space="preserve">注：上列产品名称、适用范围与伴随诊断药物已比对厂家公开信息，注册证编号建议以最新《医疗器械注册证》原件为准。此类产品的收费执行口径需另行确认，未包含在已明确物价的五项之内；实际引入前应完成新增项目论证与物价备案。</w:t>
      </w:r>
    </w:p>
    <w:p>
      <w:pPr>
        <w:keepNext/>
        <w:spacing w:after="140" w:before="320" w:line="380"/>
      </w:pPr>
      <w:r>
        <w:rPr>
          <w:rFonts w:ascii="Arial" w:eastAsia="黑体" w:hAnsi="Arial"/>
          <w:b/>
          <w:bCs/>
          <w:color w:val="000000"/>
          <w:sz w:val="25"/>
          <w:szCs w:val="25"/>
        </w:rPr>
        <w:t xml:space="preserve">四、NGS 临床应用方向</w:t>
      </w:r>
    </w:p>
    <w:p>
      <w:pPr>
        <w:spacing w:after="100" w:line="380"/>
        <w:ind w:firstLine="420"/>
        <w:jc w:val="both"/>
      </w:pPr>
      <w:r>
        <w:rPr>
          <w:rFonts w:ascii="Times New Roman" w:eastAsia="宋体" w:hAnsi="Times New Roman"/>
          <w:b w:val="false"/>
          <w:bCs w:val="false"/>
          <w:color w:val="000000"/>
          <w:sz w:val="21"/>
          <w:szCs w:val="21"/>
        </w:rPr>
        <w:t xml:space="preserve">本次项目落在实体瘤伴随诊断这一类。从平台角度看，实验室建成后所承载的能力不止于此。现按大类梳理国内 NGS 临床应用的主要方向，供分子诊断中心中长期规划参考。各方向的监管成熟度并不相同：</w:t>
      </w:r>
      <w:r>
        <w:rPr>
          <w:rFonts w:ascii="Times New Roman" w:eastAsia="宋体" w:hAnsi="Times New Roman"/>
          <w:b/>
          <w:bCs/>
          <w:color w:val="000000"/>
          <w:sz w:val="21"/>
          <w:szCs w:val="21"/>
        </w:rPr>
        <w:t xml:space="preserve">标注「已有注册产品」的可直接选用注册试剂盒开展，标注「多以 LDT 路径开展」的则需按自建项目管理</w:t>
      </w:r>
      <w:r>
        <w:rPr>
          <w:rFonts w:ascii="Times New Roman" w:eastAsia="宋体" w:hAnsi="Times New Roman"/>
          <w:b w:val="false"/>
          <w:bCs w:val="false"/>
          <w:color w:val="000000"/>
          <w:sz w:val="21"/>
          <w:szCs w:val="21"/>
        </w:rPr>
        <w:t xml:space="preserve">。</w:t>
      </w:r>
    </w:p>
    <w:p>
      <w:pPr>
        <w:keepNext/>
        <w:spacing w:after="80" w:before="140"/>
      </w:pPr>
      <w:r>
        <w:rPr>
          <w:rFonts w:ascii="Arial" w:eastAsia="黑体" w:hAnsi="Arial"/>
          <w:b/>
          <w:bCs/>
          <w:color w:val="000000"/>
          <w:sz w:val="20"/>
          <w:szCs w:val="20"/>
        </w:rPr>
        <w:t xml:space="preserve">表 5　国内 NGS 临床应用方向（大类）</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600"/>
        <w:gridCol w:w="2000"/>
        <w:gridCol w:w="5460"/>
        <w:gridCol w:w="1800"/>
      </w:tblGrid>
      <w:tr>
        <w:trPr>
          <w:tblHeader/>
        </w:trPr>
        <w:tc>
          <w:tcPr>
            <w:tcW w:type="dxa" w:w="6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20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应用方向</w:t>
            </w:r>
          </w:p>
        </w:tc>
        <w:tc>
          <w:tcPr>
            <w:tcW w:type="dxa" w:w="54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主要内容</w:t>
            </w:r>
          </w:p>
        </w:tc>
        <w:tc>
          <w:tcPr>
            <w:tcW w:type="dxa" w:w="18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开展路径</w:t>
            </w:r>
          </w:p>
        </w:tc>
      </w:tr>
      <w:tr>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实体瘤精准诊疗</w:t>
            </w:r>
          </w:p>
        </w:tc>
        <w:tc>
          <w:tcPr>
            <w:tcW w:type="dxa" w:w="5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靶向与免疫治疗的伴随诊断：驱动基因突变、基因融合、肿瘤突变负荷（TMB）、微卫星不稳定（MSI）与同源重组缺陷（HRD）。国内已注册产品最多的方向，本次项目即属此类。</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已有注册产品</w:t>
            </w:r>
          </w:p>
        </w:tc>
      </w:tr>
      <w:tr>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2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遗传性肿瘤易感基因</w:t>
            </w:r>
          </w:p>
        </w:tc>
        <w:tc>
          <w:tcPr>
            <w:tcW w:type="dxa" w:w="5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BRCA1／BRCA2 等胚系突变筛查，用于高危人群管理、亲属级联筛查与 PARP 抑制剂用药指导。表 4 所列两项即属此类。</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已有注册产品</w:t>
            </w:r>
          </w:p>
        </w:tc>
      </w:tr>
      <w:tr>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2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血液系统肿瘤分子分型</w:t>
            </w:r>
          </w:p>
        </w:tc>
        <w:tc>
          <w:tcPr>
            <w:tcW w:type="dxa" w:w="5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白血病、淋巴瘤、骨髓增生异常综合征的融合基因与突变谱检测，用于分型、危险度分层与疗效监测。微小残留病（MRD）监测目前多以自建项目开展。</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部分已有注册产品</w:t>
            </w:r>
          </w:p>
        </w:tc>
      </w:tr>
      <w:tr>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4</w:t>
            </w:r>
          </w:p>
        </w:tc>
        <w:tc>
          <w:tcPr>
            <w:tcW w:type="dxa" w:w="2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生殖健康与出生缺陷防控</w:t>
            </w:r>
          </w:p>
        </w:tc>
        <w:tc>
          <w:tcPr>
            <w:tcW w:type="dxa" w:w="5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无创产前筛查（NIPT）、染色体拷贝数变异检测（CNV-seq）、胚胎植入前遗传学检测（PGT）。NIPT 是国内最早获批的 NGS 临床应用方向。</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已有注册产品</w:t>
            </w:r>
          </w:p>
        </w:tc>
      </w:tr>
      <w:tr>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5</w:t>
            </w:r>
          </w:p>
        </w:tc>
        <w:tc>
          <w:tcPr>
            <w:tcW w:type="dxa" w:w="2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单基因遗传病与携带者筛查</w:t>
            </w:r>
          </w:p>
        </w:tc>
        <w:tc>
          <w:tcPr>
            <w:tcW w:type="dxa" w:w="5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地中海贫血、遗传性耳聋等常见单基因病已有注册试剂盒；更广的多基因 panel 与全外显子组测序目前多以自建项目路径开展。</w:t>
            </w:r>
          </w:p>
        </w:tc>
        <w:tc>
          <w:tcPr>
            <w:tcW w:type="dxa" w:w="1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部分已有注册产品</w:t>
            </w:r>
          </w:p>
        </w:tc>
      </w:tr>
      <w:tr>
        <w:tc>
          <w:tcPr>
            <w:tcW w:type="dxa" w:w="6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20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感染性疾病病原检测</w:t>
            </w:r>
          </w:p>
        </w:tc>
        <w:tc>
          <w:tcPr>
            <w:tcW w:type="dxa" w:w="54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宏基因组测序（mNGS）与靶向测序（tNGS），用于疑难危重感染的病原快速识别。测序平台已取得三类注册证，国内已发布多部临床应用专家共识。</w:t>
            </w:r>
          </w:p>
        </w:tc>
        <w:tc>
          <w:tcPr>
            <w:tcW w:type="dxa" w:w="18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多以 LDT 路径开展</w:t>
            </w:r>
          </w:p>
        </w:tc>
      </w:tr>
    </w:tbl>
    <w:p>
      <w:pPr>
        <w:spacing w:after="120" w:before="90" w:line="320"/>
        <w:ind w:firstLine="380"/>
        <w:jc w:val="both"/>
      </w:pPr>
      <w:r>
        <w:rPr>
          <w:rFonts w:ascii="Times New Roman" w:eastAsia="宋体" w:hAnsi="Times New Roman"/>
          <w:b w:val="false"/>
          <w:bCs w:val="false"/>
          <w:color w:val="000000"/>
          <w:sz w:val="19"/>
          <w:szCs w:val="19"/>
        </w:rPr>
        <w:t xml:space="preserve">注：以上为应用方向的大类梳理，不构成项目承诺。各方向开展前均需完成新增项目论证、试剂盒选型与物价备案；跨方向共用同一测序平台时，还需确认各试剂盒注册证载明的适用机型。</w:t>
      </w:r>
    </w:p>
    <w:p>
      <w:pPr>
        <w:spacing w:after="160" w:before="280" w:line="380"/>
        <w:ind w:firstLine="420"/>
        <w:jc w:val="both"/>
      </w:pPr>
      <w:r>
        <w:rPr>
          <w:rFonts w:ascii="Times New Roman" w:eastAsia="宋体" w:hAnsi="Times New Roman"/>
          <w:b w:val="false"/>
          <w:bCs w:val="false"/>
          <w:color w:val="000000"/>
          <w:sz w:val="21"/>
          <w:szCs w:val="21"/>
        </w:rPr>
        <w:t xml:space="preserve">以上汇报，请各位领导及相关职能部门审阅，并就分区落位方案、设备配置口径及项目开展次序给予进一步指导意见。</w:t>
      </w:r>
    </w:p>
    <w:p>
      <w:pPr>
        <w:spacing w:before="320" w:line="380"/>
        <w:ind w:right="400"/>
        <w:jc w:val="right"/>
      </w:pPr>
      <w:r>
        <w:rPr>
          <w:rFonts w:ascii="Arial" w:eastAsia="黑体" w:hAnsi="Arial"/>
          <w:b/>
          <w:bCs/>
          <w:color w:val="000000"/>
          <w:sz w:val="21"/>
          <w:szCs w:val="21"/>
        </w:rPr>
        <w:t xml:space="preserve">华大基因</w:t>
      </w:r>
    </w:p>
    <w:p>
      <w:pPr>
        <w:spacing w:line="380"/>
        <w:ind w:right="400"/>
        <w:jc w:val="right"/>
      </w:pPr>
      <w:r>
        <w:rPr>
          <w:rFonts w:ascii="Times New Roman" w:eastAsia="宋体" w:hAnsi="Times New Roman"/>
          <w:b w:val="false"/>
          <w:bCs w:val="false"/>
          <w:color w:val="000000"/>
          <w:sz w:val="21"/>
          <w:szCs w:val="21"/>
        </w:rPr>
        <w:t xml:space="preserve">二〇二六年九月九日</w:t>
      </w:r>
    </w:p>
    <w:sectPr>
      <w:footerReference w:type="default" r:id="rId7"/>
      <w:pgSz w:w="11906" w:h="16838" w:orient="portrait"/>
      <w:pgMar w:top="1134"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color w:val="000000"/>
        <w:sz w:val="21"/>
        <w:szCs w:val="21"/>
      </w:rPr>
      <w:t xml:space="preserve">— </w:t>
    </w:r>
    <w:r>
      <w:rPr>
        <w:rFonts w:ascii="Times New Roman" w:eastAsia="宋体" w:hAnsi="Times New Roman"/>
        <w:sz w:val="19"/>
        <w:szCs w:val="19"/>
      </w:rPr>
      <w:fldChar w:fldCharType="begin"/>
      <w:instrText xml:space="preserve">PAGE</w:instrText>
      <w:fldChar w:fldCharType="separate"/>
      <w:fldChar w:fldCharType="end"/>
    </w:r>
    <w:r>
      <w:rPr>
        <w:rFonts w:ascii="Times New Roman" w:eastAsia="宋体" w:hAnsi="Times New Roman"/>
        <w:b w:val="false"/>
        <w:bCs w:val="false"/>
        <w:color w:val="000000"/>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pPr>
        <w:spacing w:line="3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2026-09-09T07:30:50.495Z</dcterms:created>
  <dcterms:modified xsi:type="dcterms:W3CDTF">2026-09-09T07:30:50.495Z</dcterms:modified>
</cp:coreProperties>
</file>

<file path=docProps/custom.xml><?xml version="1.0" encoding="utf-8"?>
<Properties xmlns="http://schemas.openxmlformats.org/officeDocument/2006/custom-properties" xmlns:vt="http://schemas.openxmlformats.org/officeDocument/2006/docPropsVTypes"/>
</file>