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Bdr>
          <w:top w:val="single" w:color="1E4B50" w:sz="8"/>
        </w:pBdr>
        <w:spacing w:after="60"/>
      </w:pPr>
    </w:p>
    <w:p>
      <w:pPr>
        <w:spacing w:after="60"/>
      </w:pPr>
      <w:r>
        <w:rPr>
          <w:rFonts w:ascii="Arial" w:cs="Arial" w:eastAsia="Arial" w:hAnsi="Arial"/>
          <w:b/>
          <w:bCs/>
          <w:color w:val="1E4B50"/>
          <w:spacing w:val="60"/>
          <w:sz w:val="26"/>
          <w:szCs w:val="26"/>
        </w:rPr>
        <w:t xml:space="preserve">PREMIUM CARE ApS</w:t>
      </w:r>
    </w:p>
    <w:p>
      <w:pPr>
        <w:spacing w:after="40"/>
      </w:pPr>
      <w:r>
        <w:rPr>
          <w:rFonts w:ascii="Arial" w:cs="Arial" w:eastAsia="Arial" w:hAnsi="Arial"/>
          <w:color w:val="44515C"/>
          <w:spacing w:val="40"/>
          <w:sz w:val="18"/>
          <w:szCs w:val="18"/>
        </w:rPr>
        <w:t xml:space="preserve">Governance Library — Board Review</w:t>
      </w:r>
    </w:p>
    <w:p>
      <w:pPr>
        <w:spacing w:after="900"/>
      </w:pPr>
    </w:p>
    <w:p>
      <w:pPr>
        <w:spacing w:after="160"/>
      </w:pPr>
      <w:r>
        <w:rPr>
          <w:rFonts w:ascii="Georgia" w:cs="Georgia" w:eastAsia="Georgia" w:hAnsi="Georgia"/>
          <w:color w:val="1F2328"/>
          <w:sz w:val="64"/>
          <w:szCs w:val="64"/>
        </w:rPr>
        <w:t xml:space="preserve">Governance Architecture</w:t>
      </w:r>
    </w:p>
    <w:p>
      <w:pPr>
        <w:spacing w:after="300"/>
      </w:pPr>
      <w:r>
        <w:rPr>
          <w:rFonts w:ascii="Georgia" w:cs="Georgia" w:eastAsia="Georgia" w:hAnsi="Georgia"/>
          <w:color w:val="1F2328"/>
          <w:sz w:val="64"/>
          <w:szCs w:val="64"/>
        </w:rPr>
        <w:t xml:space="preserve">Audit Report</w:t>
      </w:r>
    </w:p>
    <w:p>
      <w:pPr>
        <w:spacing w:after="100"/>
      </w:pPr>
      <w:r>
        <w:rPr>
          <w:rFonts w:ascii="Georgia" w:cs="Georgia" w:eastAsia="Georgia" w:hAnsi="Georgia"/>
          <w:i/>
          <w:iCs/>
          <w:color w:val="44515C"/>
          <w:sz w:val="22"/>
          <w:szCs w:val="22"/>
        </w:rPr>
        <w:t xml:space="preserve">Independent challenge of the Governance Architecture Specification (PC-GOV-000 v1.0) prior to Phase 2 production, conducted to the standard of an external healthcare governance consultancy engagement.</w:t>
      </w:r>
    </w:p>
    <w:p>
      <w:pPr>
        <w:spacing w:after="2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Reference</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AUD-2026-001</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Subject</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 Governance Architecture Specification v1.0</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Commissioned by</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Founder / Board</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Standard applied</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procurement readiness; ISO 9001; ISO/IEC 27001; DDKM (IKAS); STPS and Arbejdstilsynet inspection readiness; GDPR</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Verdict</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 WITH AMENDMENTS — v1.1 issued with this report</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Date</w:t>
            </w:r>
          </w:p>
        </w:tc>
        <w:tc>
          <w:tcPr>
            <w:tcW w:type="dxa" w:w="6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1   </w:t>
      </w:r>
      <w:r>
        <w:rPr>
          <w:rFonts w:ascii="Arial" w:cs="Arial" w:eastAsia="Arial" w:hAnsi="Arial"/>
          <w:b/>
          <w:bCs/>
          <w:color w:val="1F2328"/>
          <w:sz w:val="30"/>
          <w:szCs w:val="30"/>
        </w:rPr>
        <w:t xml:space="preserve">Engagement and Method</w:t>
      </w:r>
    </w:p>
    <w:p>
      <w:pPr>
        <w:spacing w:after="160" w:line="276"/>
        <w:jc w:val="both"/>
      </w:pPr>
      <w:r>
        <w:rPr>
          <w:rFonts w:ascii="Georgia" w:cs="Georgia" w:eastAsia="Georgia" w:hAnsi="Georgia"/>
          <w:color w:val="1F2328"/>
          <w:sz w:val="21"/>
          <w:szCs w:val="21"/>
        </w:rPr>
        <w:t xml:space="preserve">This report records a structured challenge of the Governance Architecture Specification before any Phase 2 drafting. The review was conducted against eight assessor perspectives: Danish healthcare counsel; corporate governance consultancy; ISO 9001 and ISO/IEC 27001 lead audit; DDKM accreditation survey; Styrelsen for Patientsikkerhed (STPS) and Arbejdstilsynet inspection; municipal commissioning; and board and investor scrutiny.</w:t>
      </w:r>
    </w:p>
    <w:p>
      <w:pPr>
        <w:spacing w:after="160" w:line="276"/>
        <w:jc w:val="both"/>
      </w:pPr>
      <w:r>
        <w:rPr>
          <w:rFonts w:ascii="Georgia" w:cs="Georgia" w:eastAsia="Georgia" w:hAnsi="Georgia"/>
          <w:color w:val="1F2328"/>
          <w:sz w:val="21"/>
          <w:szCs w:val="21"/>
        </w:rPr>
        <w:t xml:space="preserve">Each section of PC-GOV-000 v1.0 was tested for missing structures, weak controls, unclear accountability, segregation of duties, escalation, statutory completeness under Danish law, and resilience under growth from ten employees to five hundred across multiple sites. Findings are graded </w:t>
      </w:r>
      <w:r>
        <w:rPr>
          <w:rFonts w:ascii="Georgia" w:cs="Georgia" w:eastAsia="Georgia" w:hAnsi="Georgia"/>
          <w:b/>
          <w:bCs/>
          <w:color w:val="1F2328"/>
          <w:sz w:val="21"/>
          <w:szCs w:val="21"/>
        </w:rPr>
        <w:t xml:space="preserve">Critical</w:t>
      </w:r>
      <w:r>
        <w:rPr>
          <w:rFonts w:ascii="Georgia" w:cs="Georgia" w:eastAsia="Georgia" w:hAnsi="Georgia"/>
          <w:color w:val="1F2328"/>
          <w:sz w:val="21"/>
          <w:szCs w:val="21"/>
        </w:rPr>
        <w:t xml:space="preserve"> (would fail a tender question, statutory duty or accreditation criterion), </w:t>
      </w:r>
      <w:r>
        <w:rPr>
          <w:rFonts w:ascii="Georgia" w:cs="Georgia" w:eastAsia="Georgia" w:hAnsi="Georgia"/>
          <w:b/>
          <w:bCs/>
          <w:color w:val="1F2328"/>
          <w:sz w:val="21"/>
          <w:szCs w:val="21"/>
        </w:rPr>
        <w:t xml:space="preserve">Major</w:t>
      </w:r>
      <w:r>
        <w:rPr>
          <w:rFonts w:ascii="Georgia" w:cs="Georgia" w:eastAsia="Georgia" w:hAnsi="Georgia"/>
          <w:color w:val="1F2328"/>
          <w:sz w:val="21"/>
          <w:szCs w:val="21"/>
        </w:rPr>
        <w:t xml:space="preserve"> (material weakness an external reviewer would cite), </w:t>
      </w:r>
      <w:r>
        <w:rPr>
          <w:rFonts w:ascii="Georgia" w:cs="Georgia" w:eastAsia="Georgia" w:hAnsi="Georgia"/>
          <w:b/>
          <w:bCs/>
          <w:color w:val="1F2328"/>
          <w:sz w:val="21"/>
          <w:szCs w:val="21"/>
        </w:rPr>
        <w:t xml:space="preserve">Minor</w:t>
      </w:r>
      <w:r>
        <w:rPr>
          <w:rFonts w:ascii="Georgia" w:cs="Georgia" w:eastAsia="Georgia" w:hAnsi="Georgia"/>
          <w:color w:val="1F2328"/>
          <w:sz w:val="21"/>
          <w:szCs w:val="21"/>
        </w:rPr>
        <w:t xml:space="preserve"> (improvement) and </w:t>
      </w:r>
      <w:r>
        <w:rPr>
          <w:rFonts w:ascii="Georgia" w:cs="Georgia" w:eastAsia="Georgia" w:hAnsi="Georgia"/>
          <w:b/>
          <w:bCs/>
          <w:color w:val="1F2328"/>
          <w:sz w:val="21"/>
          <w:szCs w:val="21"/>
        </w:rPr>
        <w:t xml:space="preserve">Observation</w:t>
      </w:r>
      <w:r>
        <w:rPr>
          <w:rFonts w:ascii="Georgia" w:cs="Georgia" w:eastAsia="Georgia" w:hAnsi="Georgia"/>
          <w:color w:val="1F2328"/>
          <w:sz w:val="21"/>
          <w:szCs w:val="21"/>
        </w:rPr>
        <w:t xml:space="preserve"> (strength or design note).</w:t>
      </w:r>
    </w:p>
    <w:p>
      <w:pPr>
        <w:spacing w:after="160" w:line="276"/>
        <w:jc w:val="both"/>
      </w:pPr>
      <w:r>
        <w:rPr>
          <w:rFonts w:ascii="Georgia" w:cs="Georgia" w:eastAsia="Georgia" w:hAnsi="Georgia"/>
          <w:color w:val="1F2328"/>
          <w:sz w:val="21"/>
          <w:szCs w:val="21"/>
        </w:rPr>
        <w:t xml:space="preserve">An important framing point for the Board: this is a review of </w:t>
      </w:r>
      <w:r>
        <w:rPr>
          <w:rFonts w:ascii="Georgia" w:cs="Georgia" w:eastAsia="Georgia" w:hAnsi="Georgia"/>
          <w:b/>
          <w:bCs/>
          <w:color w:val="1F2328"/>
          <w:sz w:val="21"/>
          <w:szCs w:val="21"/>
        </w:rPr>
        <w:t xml:space="preserve">design maturity</w:t>
      </w:r>
      <w:r>
        <w:rPr>
          <w:rFonts w:ascii="Georgia" w:cs="Georgia" w:eastAsia="Georgia" w:hAnsi="Georgia"/>
          <w:color w:val="1F2328"/>
          <w:sz w:val="21"/>
          <w:szCs w:val="21"/>
        </w:rPr>
        <w:t xml:space="preserve"> — the quality of the architecture on paper. Operational maturity is zero by definition until the library is drafted, implemented and evidenced in use. No score in this report should be read as a statement about how Premium Care currently operates.</w:t>
      </w:r>
    </w:p>
    <w:p>
      <w:pPr>
        <w:pStyle w:val="Heading1"/>
        <w:pBdr>
          <w:bottom w:val="single" w:color="1E4B50" w:sz="6"/>
        </w:pBdr>
        <w:spacing w:after="200" w:before="420"/>
      </w:pPr>
      <w:r>
        <w:rPr>
          <w:rFonts w:ascii="Arial" w:cs="Arial" w:eastAsia="Arial" w:hAnsi="Arial"/>
          <w:b/>
          <w:bCs/>
          <w:color w:val="1E4B50"/>
          <w:sz w:val="30"/>
          <w:szCs w:val="30"/>
        </w:rPr>
        <w:t xml:space="preserve">2   </w:t>
      </w:r>
      <w:r>
        <w:rPr>
          <w:rFonts w:ascii="Arial" w:cs="Arial" w:eastAsia="Arial" w:hAnsi="Arial"/>
          <w:b/>
          <w:bCs/>
          <w:color w:val="1F2328"/>
          <w:sz w:val="30"/>
          <w:szCs w:val="30"/>
        </w:rPr>
        <w:t xml:space="preserve">Executive Board Review</w:t>
      </w:r>
    </w:p>
    <w:p>
      <w:pPr>
        <w:pStyle w:val="Heading2"/>
        <w:spacing w:after="140" w:before="300"/>
      </w:pPr>
      <w:r>
        <w:rPr>
          <w:rFonts w:ascii="Arial" w:cs="Arial" w:eastAsia="Arial" w:hAnsi="Arial"/>
          <w:b/>
          <w:bCs/>
          <w:color w:val="1E4B50"/>
          <w:sz w:val="24"/>
          <w:szCs w:val="24"/>
        </w:rPr>
        <w:t xml:space="preserve">2.1   </w:t>
      </w:r>
      <w:r>
        <w:rPr>
          <w:rFonts w:ascii="Arial" w:cs="Arial" w:eastAsia="Arial" w:hAnsi="Arial"/>
          <w:b/>
          <w:bCs/>
          <w:color w:val="1F2328"/>
          <w:sz w:val="24"/>
          <w:szCs w:val="24"/>
        </w:rPr>
        <w:t xml:space="preserve">Governance maturity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326"/>
      </w:tblGrid>
      <w:tr>
        <w:trPr>
          <w:cantSplit/>
          <w:tblHeader/>
        </w:trPr>
        <w:tc>
          <w:tcPr>
            <w:tcW w:type="dxa" w:w="3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Area</w:t>
            </w:r>
          </w:p>
        </w:tc>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Score</w:t>
            </w:r>
          </w:p>
        </w:tc>
        <w:tc>
          <w:tcPr>
            <w:tcW w:type="dxa" w:w="43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Basis</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Architecture and hierarchy</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92</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Five-tier model, permanent numbering, tier-conflict rule: strong. Deduction for document-control sequencing (F-L1).</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90</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Lifecycle, version discipline and single-source rule are audit-grade. Register set under-specified (F-L3).</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and board governance</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78</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Ownership and approval model sound; reserved matters, board evaluation, assurance statement, conflicts of interest and whistleblowing absent (F-G1–G4).</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and financial governance</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72</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frameworks present, but no financial governance layer at all — the single largest structural gap (F-R1).</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and healthcare governance</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80</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suite strong on delegation, medication and UTH; no care-planning/rehabilitation manual and no citizen complaints route (F-H1–H2).</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Human resources</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82</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Suite broad; equality/diversity, wellbeing and explicit disciplinary–grievance–whistleblowing interfaces missing (F-P1–P3).</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84</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cyber, AI and retention covered; ROPA/DPIA machinery and NIS2 readiness not yet named (F-I1–I2).</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management</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83</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QMS maps well to ISO 9001 clauses; supplier control and quality objectives not explicit (F-Q1–Q2).</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and safety</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85</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Statutorily aware (AMO, APV); psychological working environment order not yet addressed (F-P2).</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Scalability</w:t>
            </w:r>
          </w:p>
        </w:tc>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88</w:t>
            </w:r>
          </w:p>
        </w:tc>
        <w:tc>
          <w:tcPr>
            <w:tcW w:type="dxa" w:w="4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Threshold-activated committees and role-based ownership scale well; two statutory growth triggers missing (F-S1).</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Overall design maturity: 82 / 100 at v1.0.</w:t>
            </w:r>
            <w:r>
              <w:rPr>
                <w:rFonts w:ascii="Georgia" w:cs="Georgia" w:eastAsia="Georgia" w:hAnsi="Georgia"/>
                <w:color w:val="1F2328"/>
                <w:sz w:val="20"/>
                <w:szCs w:val="20"/>
              </w:rPr>
              <w:t xml:space="preserve"> With the amendments in this report incorporated, projected design maturity is </w:t>
            </w:r>
            <w:r>
              <w:rPr>
                <w:rFonts w:ascii="Georgia" w:cs="Georgia" w:eastAsia="Georgia" w:hAnsi="Georgia"/>
                <w:b/>
                <w:bCs/>
                <w:color w:val="1F2328"/>
                <w:sz w:val="20"/>
                <w:szCs w:val="20"/>
              </w:rPr>
              <w:t xml:space="preserve">90–92 / 100</w:t>
            </w:r>
            <w:r>
              <w:rPr>
                <w:rFonts w:ascii="Georgia" w:cs="Georgia" w:eastAsia="Georgia" w:hAnsi="Georgia"/>
                <w:color w:val="1F2328"/>
                <w:sz w:val="20"/>
                <w:szCs w:val="20"/>
              </w:rPr>
              <w:t xml:space="preserve">, which is the practical ceiling for an architecture document before real documents, audits and operating evidence exist. The self-assessed 9.5/10 was generous: the architecture was structurally excellent but carried four gaps that a municipal evaluator or accreditation surveyor would find quickly.</w:t>
            </w:r>
          </w:p>
        </w:tc>
      </w:tr>
    </w:tbl>
    <w:p>
      <w:pPr>
        <w:spacing w:after="200"/>
      </w:pPr>
    </w:p>
    <w:p>
      <w:pPr>
        <w:pStyle w:val="Heading2"/>
        <w:spacing w:after="140" w:before="300"/>
      </w:pPr>
      <w:r>
        <w:rPr>
          <w:rFonts w:ascii="Arial" w:cs="Arial" w:eastAsia="Arial" w:hAnsi="Arial"/>
          <w:b/>
          <w:bCs/>
          <w:color w:val="1E4B50"/>
          <w:sz w:val="24"/>
          <w:szCs w:val="24"/>
        </w:rPr>
        <w:t xml:space="preserve">2.2   </w:t>
      </w:r>
      <w:r>
        <w:rPr>
          <w:rFonts w:ascii="Arial" w:cs="Arial" w:eastAsia="Arial" w:hAnsi="Arial"/>
          <w:b/>
          <w:bCs/>
          <w:color w:val="1F2328"/>
          <w:sz w:val="24"/>
          <w:szCs w:val="24"/>
        </w:rPr>
        <w:t xml:space="preserve">Strengths</w:t>
      </w:r>
    </w:p>
    <w:p>
      <w:pPr>
        <w:pStyle w:val="ListParagraph"/>
        <w:numPr>
          <w:ilvl w:val="0"/>
          <w:numId w:val="2"/>
        </w:numPr>
        <w:spacing w:after="90" w:line="264"/>
      </w:pPr>
      <w:r>
        <w:rPr>
          <w:rFonts w:ascii="Georgia" w:cs="Georgia" w:eastAsia="Georgia" w:hAnsi="Georgia"/>
          <w:color w:val="1F2328"/>
          <w:sz w:val="21"/>
          <w:szCs w:val="21"/>
        </w:rPr>
        <w:t xml:space="preserve">A genuine ecosystem design: single-source rule, inbound-reference tracking and change-ripple notification are stronger than most mid-size providers' live systems.</w:t>
      </w:r>
    </w:p>
    <w:p>
      <w:pPr>
        <w:pStyle w:val="ListParagraph"/>
        <w:numPr>
          <w:ilvl w:val="0"/>
          <w:numId w:val="2"/>
        </w:numPr>
        <w:spacing w:after="90" w:line="264"/>
      </w:pPr>
      <w:r>
        <w:rPr>
          <w:rFonts w:ascii="Georgia" w:cs="Georgia" w:eastAsia="Georgia" w:hAnsi="Georgia"/>
          <w:color w:val="1F2328"/>
          <w:sz w:val="21"/>
          <w:szCs w:val="21"/>
        </w:rPr>
        <w:t xml:space="preserve">Permanent identifiers, tier-conflict precedence and role-based (not person-based) ownership will survive growth and staff turnover.</w:t>
      </w:r>
    </w:p>
    <w:p>
      <w:pPr>
        <w:pStyle w:val="ListParagraph"/>
        <w:numPr>
          <w:ilvl w:val="0"/>
          <w:numId w:val="2"/>
        </w:numPr>
        <w:spacing w:after="90" w:line="264"/>
      </w:pPr>
      <w:r>
        <w:rPr>
          <w:rFonts w:ascii="Georgia" w:cs="Georgia" w:eastAsia="Georgia" w:hAnsi="Georgia"/>
          <w:color w:val="1F2328"/>
          <w:sz w:val="21"/>
          <w:szCs w:val="21"/>
        </w:rPr>
        <w:t xml:space="preserve">Danish statutory grounding is authentic — </w:t>
      </w:r>
      <w:r>
        <w:rPr>
          <w:rFonts w:ascii="Georgia" w:cs="Georgia" w:eastAsia="Georgia" w:hAnsi="Georgia"/>
          <w:i/>
          <w:iCs/>
          <w:color w:val="1F2328"/>
          <w:sz w:val="21"/>
          <w:szCs w:val="21"/>
        </w:rPr>
        <w:t xml:space="preserve">serviceloven</w:t>
      </w:r>
      <w:r>
        <w:rPr>
          <w:rFonts w:ascii="Georgia" w:cs="Georgia" w:eastAsia="Georgia" w:hAnsi="Georgia"/>
          <w:color w:val="1F2328"/>
          <w:sz w:val="21"/>
          <w:szCs w:val="21"/>
        </w:rPr>
        <w:t xml:space="preserve"> §83/§91, </w:t>
      </w:r>
      <w:r>
        <w:rPr>
          <w:rFonts w:ascii="Georgia" w:cs="Georgia" w:eastAsia="Georgia" w:hAnsi="Georgia"/>
          <w:i/>
          <w:iCs/>
          <w:color w:val="1F2328"/>
          <w:sz w:val="21"/>
          <w:szCs w:val="21"/>
        </w:rPr>
        <w:t xml:space="preserve">sundhedsloven</w:t>
      </w:r>
      <w:r>
        <w:rPr>
          <w:rFonts w:ascii="Georgia" w:cs="Georgia" w:eastAsia="Georgia" w:hAnsi="Georgia"/>
          <w:color w:val="1F2328"/>
          <w:sz w:val="21"/>
          <w:szCs w:val="21"/>
        </w:rPr>
        <w:t xml:space="preserve"> §138, the Delegation Order, DPSD reporting, AMO thresholds — rather than translated foreign boilerplate.</w:t>
      </w:r>
    </w:p>
    <w:p>
      <w:pPr>
        <w:pStyle w:val="ListParagraph"/>
        <w:numPr>
          <w:ilvl w:val="0"/>
          <w:numId w:val="2"/>
        </w:numPr>
        <w:spacing w:after="90" w:line="264"/>
      </w:pPr>
      <w:r>
        <w:rPr>
          <w:rFonts w:ascii="Georgia" w:cs="Georgia" w:eastAsia="Georgia" w:hAnsi="Georgia"/>
          <w:color w:val="1F2328"/>
          <w:sz w:val="21"/>
          <w:szCs w:val="21"/>
        </w:rPr>
        <w:t xml:space="preserve">The clinical/operational dual accountability line and the protected direct-to-Board reporting rights for compliance and data protection are exactly what inspectors look for.</w:t>
      </w:r>
    </w:p>
    <w:p>
      <w:pPr>
        <w:pStyle w:val="ListParagraph"/>
        <w:numPr>
          <w:ilvl w:val="0"/>
          <w:numId w:val="2"/>
        </w:numPr>
        <w:spacing w:after="90" w:line="264"/>
      </w:pPr>
      <w:r>
        <w:rPr>
          <w:rFonts w:ascii="Georgia" w:cs="Georgia" w:eastAsia="Georgia" w:hAnsi="Georgia"/>
          <w:color w:val="1F2328"/>
          <w:sz w:val="21"/>
          <w:szCs w:val="21"/>
        </w:rPr>
        <w:t xml:space="preserve">The Board approval gate before drafting (Clause 17.2) is disciplined and unusual.</w:t>
      </w:r>
    </w:p>
    <w:p>
      <w:pPr>
        <w:pStyle w:val="Heading2"/>
        <w:spacing w:after="140" w:before="300"/>
      </w:pPr>
      <w:r>
        <w:rPr>
          <w:rFonts w:ascii="Arial" w:cs="Arial" w:eastAsia="Arial" w:hAnsi="Arial"/>
          <w:b/>
          <w:bCs/>
          <w:color w:val="1E4B50"/>
          <w:sz w:val="24"/>
          <w:szCs w:val="24"/>
        </w:rPr>
        <w:t xml:space="preserve">2.3   </w:t>
      </w:r>
      <w:r>
        <w:rPr>
          <w:rFonts w:ascii="Arial" w:cs="Arial" w:eastAsia="Arial" w:hAnsi="Arial"/>
          <w:b/>
          <w:bCs/>
          <w:color w:val="1F2328"/>
          <w:sz w:val="24"/>
          <w:szCs w:val="24"/>
        </w:rPr>
        <w:t xml:space="preserve">Weaknesses and critical risks</w:t>
      </w:r>
    </w:p>
    <w:p>
      <w:pPr>
        <w:pStyle w:val="ListParagraph"/>
        <w:numPr>
          <w:ilvl w:val="0"/>
          <w:numId w:val="2"/>
        </w:numPr>
        <w:spacing w:after="90" w:line="264"/>
      </w:pPr>
      <w:r>
        <w:rPr>
          <w:rFonts w:ascii="Georgia" w:cs="Georgia" w:eastAsia="Georgia" w:hAnsi="Georgia"/>
          <w:b/>
          <w:bCs/>
          <w:color w:val="1F2328"/>
          <w:sz w:val="21"/>
          <w:szCs w:val="21"/>
        </w:rPr>
        <w:t xml:space="preserve">No financial governance layer.</w:t>
      </w:r>
      <w:r>
        <w:rPr>
          <w:rFonts w:ascii="Georgia" w:cs="Georgia" w:eastAsia="Georgia" w:hAnsi="Georgia"/>
          <w:color w:val="1F2328"/>
          <w:sz w:val="21"/>
          <w:szCs w:val="21"/>
        </w:rPr>
        <w:t xml:space="preserve"> The library governs care, people, information and safety, but not money: no financial control manual, no anti-fraud position, no procurement/supplier control, no alignment to the Danish Bookkeeping Act's digital bookkeeping duties. For municipal tenders — where financial robustness is scored — this is the most conspicuous absence. (Critical, F-R1)</w:t>
      </w:r>
    </w:p>
    <w:p>
      <w:pPr>
        <w:pStyle w:val="ListParagraph"/>
        <w:numPr>
          <w:ilvl w:val="0"/>
          <w:numId w:val="2"/>
        </w:numPr>
        <w:spacing w:after="90" w:line="264"/>
      </w:pPr>
      <w:r>
        <w:rPr>
          <w:rFonts w:ascii="Georgia" w:cs="Georgia" w:eastAsia="Georgia" w:hAnsi="Georgia"/>
          <w:b/>
          <w:bCs/>
          <w:color w:val="1F2328"/>
          <w:sz w:val="21"/>
          <w:szCs w:val="21"/>
        </w:rPr>
        <w:t xml:space="preserve">No citizen complaints and feedback route.</w:t>
      </w:r>
      <w:r>
        <w:rPr>
          <w:rFonts w:ascii="Georgia" w:cs="Georgia" w:eastAsia="Georgia" w:hAnsi="Georgia"/>
          <w:color w:val="1F2328"/>
          <w:sz w:val="21"/>
          <w:szCs w:val="21"/>
        </w:rPr>
        <w:t xml:space="preserve"> Municipal contracts and DDKM both require a defined complaints pathway (including signposting to Styrelsen for Patientklager). The library handled incidents but not complaints. (Critical, F-H2)</w:t>
      </w:r>
    </w:p>
    <w:p>
      <w:pPr>
        <w:pStyle w:val="ListParagraph"/>
        <w:numPr>
          <w:ilvl w:val="0"/>
          <w:numId w:val="2"/>
        </w:numPr>
        <w:spacing w:after="90" w:line="264"/>
      </w:pPr>
      <w:r>
        <w:rPr>
          <w:rFonts w:ascii="Georgia" w:cs="Georgia" w:eastAsia="Georgia" w:hAnsi="Georgia"/>
          <w:b/>
          <w:bCs/>
          <w:color w:val="1F2328"/>
          <w:sz w:val="21"/>
          <w:szCs w:val="21"/>
        </w:rPr>
        <w:t xml:space="preserve">No care planning and rehabilitation manual.</w:t>
      </w:r>
      <w:r>
        <w:rPr>
          <w:rFonts w:ascii="Georgia" w:cs="Georgia" w:eastAsia="Georgia" w:hAnsi="Georgia"/>
          <w:color w:val="1F2328"/>
          <w:sz w:val="21"/>
          <w:szCs w:val="21"/>
        </w:rPr>
        <w:t xml:space="preserve"> §83a rehabilitation-first delivery is the centre of Danish home-care commissioning; the clinical suite governed safety but not the care model itself. (Critical, F-H1)</w:t>
      </w:r>
    </w:p>
    <w:p>
      <w:pPr>
        <w:pStyle w:val="ListParagraph"/>
        <w:numPr>
          <w:ilvl w:val="0"/>
          <w:numId w:val="2"/>
        </w:numPr>
        <w:spacing w:after="90" w:line="264"/>
      </w:pPr>
      <w:r>
        <w:rPr>
          <w:rFonts w:ascii="Georgia" w:cs="Georgia" w:eastAsia="Georgia" w:hAnsi="Georgia"/>
          <w:b/>
          <w:bCs/>
          <w:color w:val="1F2328"/>
          <w:sz w:val="21"/>
          <w:szCs w:val="21"/>
        </w:rPr>
        <w:t xml:space="preserve">No whistleblowing scheme.</w:t>
      </w:r>
      <w:r>
        <w:rPr>
          <w:rFonts w:ascii="Georgia" w:cs="Georgia" w:eastAsia="Georgia" w:hAnsi="Georgia"/>
          <w:color w:val="1F2328"/>
          <w:sz w:val="21"/>
          <w:szCs w:val="21"/>
        </w:rPr>
        <w:t xml:space="preserve"> The Danish Whistleblower Protection Act makes an internal scheme mandatory at 50+ employees; the growth plan makes this a statutory certainty, and tender evaluators expect it regardless of headcount. (Critical, F-G3)</w:t>
      </w:r>
    </w:p>
    <w:p>
      <w:pPr>
        <w:pStyle w:val="ListParagraph"/>
        <w:numPr>
          <w:ilvl w:val="0"/>
          <w:numId w:val="2"/>
        </w:numPr>
        <w:spacing w:after="90" w:line="264"/>
      </w:pPr>
      <w:r>
        <w:rPr>
          <w:rFonts w:ascii="Georgia" w:cs="Georgia" w:eastAsia="Georgia" w:hAnsi="Georgia"/>
          <w:color w:val="1F2328"/>
          <w:sz w:val="21"/>
          <w:szCs w:val="21"/>
        </w:rPr>
        <w:t xml:space="preserve">Document Control Manual was sequenced in Phase 5 although it governs how Phases 2–4 documents are produced. (Major, F-L1)</w:t>
      </w:r>
    </w:p>
    <w:p>
      <w:pPr>
        <w:pStyle w:val="Heading2"/>
        <w:spacing w:after="140" w:before="300"/>
      </w:pPr>
      <w:r>
        <w:rPr>
          <w:rFonts w:ascii="Arial" w:cs="Arial" w:eastAsia="Arial" w:hAnsi="Arial"/>
          <w:b/>
          <w:bCs/>
          <w:color w:val="1E4B50"/>
          <w:sz w:val="24"/>
          <w:szCs w:val="24"/>
        </w:rPr>
        <w:t xml:space="preserve">2.4   </w:t>
      </w:r>
      <w:r>
        <w:rPr>
          <w:rFonts w:ascii="Arial" w:cs="Arial" w:eastAsia="Arial" w:hAnsi="Arial"/>
          <w:b/>
          <w:bCs/>
          <w:color w:val="1F2328"/>
          <w:sz w:val="24"/>
          <w:szCs w:val="24"/>
        </w:rPr>
        <w:t xml:space="preserve">Approval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100" w:line="264"/>
            </w:pPr>
            <w:r>
              <w:rPr>
                <w:rFonts w:ascii="Georgia" w:cs="Georgia" w:eastAsia="Georgia" w:hAnsi="Georgia"/>
                <w:b/>
                <w:bCs/>
                <w:color w:val="1F2328"/>
                <w:sz w:val="20"/>
                <w:szCs w:val="20"/>
              </w:rPr>
              <w:t xml:space="preserve">Verdict: APPROVE WITH AMENDMENTS.</w:t>
            </w:r>
          </w:p>
          <w:p>
            <w:pPr>
              <w:spacing w:after="0" w:line="264"/>
            </w:pPr>
            <w:r>
              <w:rPr>
                <w:rFonts w:ascii="Georgia" w:cs="Georgia" w:eastAsia="Georgia" w:hAnsi="Georgia"/>
                <w:color w:val="1F2328"/>
                <w:sz w:val="20"/>
                <w:szCs w:val="20"/>
              </w:rPr>
              <w:t xml:space="preserve">All amendments have been incorporated into PC-GOV-000 </w:t>
            </w:r>
            <w:r>
              <w:rPr>
                <w:rFonts w:ascii="Georgia" w:cs="Georgia" w:eastAsia="Georgia" w:hAnsi="Georgia"/>
                <w:b/>
                <w:bCs/>
                <w:color w:val="1F2328"/>
                <w:sz w:val="20"/>
                <w:szCs w:val="20"/>
              </w:rPr>
              <w:t xml:space="preserve">Version 1.1</w:t>
            </w:r>
            <w:r>
              <w:rPr>
                <w:rFonts w:ascii="Georgia" w:cs="Georgia" w:eastAsia="Georgia" w:hAnsi="Georgia"/>
                <w:color w:val="1F2328"/>
                <w:sz w:val="20"/>
                <w:szCs w:val="20"/>
              </w:rPr>
              <w:t xml:space="preserve">, issued alongside this report. Subject to Board approval of v1.1, Phase 2 production may commence immediately. No finding requires further design work before drafting begins; the four Critical findings are resolved by register additions and re-sequencing, not by structural redesign.</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3   </w:t>
      </w:r>
      <w:r>
        <w:rPr>
          <w:rFonts w:ascii="Arial" w:cs="Arial" w:eastAsia="Arial" w:hAnsi="Arial"/>
          <w:b/>
          <w:bCs/>
          <w:color w:val="1F2328"/>
          <w:sz w:val="30"/>
          <w:szCs w:val="30"/>
        </w:rPr>
        <w:t xml:space="preserve">Detailed Findings</w:t>
      </w:r>
    </w:p>
    <w:p>
      <w:pPr>
        <w:pStyle w:val="Heading2"/>
        <w:spacing w:after="140" w:before="300"/>
      </w:pPr>
      <w:r>
        <w:rPr>
          <w:rFonts w:ascii="Arial" w:cs="Arial" w:eastAsia="Arial" w:hAnsi="Arial"/>
          <w:b/>
          <w:bCs/>
          <w:color w:val="1E4B50"/>
          <w:sz w:val="24"/>
          <w:szCs w:val="24"/>
        </w:rPr>
        <w:t xml:space="preserve">3.1   </w:t>
      </w:r>
      <w:r>
        <w:rPr>
          <w:rFonts w:ascii="Arial" w:cs="Arial" w:eastAsia="Arial" w:hAnsi="Arial"/>
          <w:b/>
          <w:bCs/>
          <w:color w:val="1F2328"/>
          <w:sz w:val="24"/>
          <w:szCs w:val="24"/>
        </w:rPr>
        <w:t xml:space="preserve">Corporate and board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Charter contents are not mandated. Reserved matters, a governance and reporting calendar, an annual Board effectiveness evaluation and an Annual Governance &amp; Assurance Statement are standard board instruments and are expected by investors, municipal evaluators and DDKM surveyors; none was required anywhere in v1.0.</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Clause 8.4 (Mandated Contents): PC-GOV-003 must contain reserved matters, the governance and reporting calendar, and the Board evaluation procedure; PC-GOV-001 must define the Annual Governance &amp; Assurance Statement, presented to the Board each year.</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conflicts-of-interest instrument. Combined roles in a founding organisation (Clause 8.1) make declared-interest discipline more important, not less; there was no COI policy and no register.</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PC-GOV-012 Conflicts of Interest Policy (Board-approved) and a standing Conflicts of Interest Register to the mandatory register set (9.8).</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C2F2F"/>
                <w:sz w:val="18"/>
                <w:szCs w:val="18"/>
              </w:rPr>
              <w:t xml:space="preserve">Critical</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whistleblowing scheme. Mandatory under the Danish Whistleblower Protection Act at 50+ employees; expected by tender evaluators at any size; also the natural escalation route protecting the independence rights in Clause 13.</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PC-GOV-013 Whistleblowing Policy &amp; Scheme, Board-approved, owned within governance (not HR) to preserve independence, with a statutory activation note at the 50-employee threshold in Section 14.</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F-G4</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44515C"/>
                <w:sz w:val="18"/>
                <w:szCs w:val="18"/>
              </w:rPr>
              <w:t xml:space="preserve">Minor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performance review of the Managing Director had no home: PC-HR-006 governs staff performance but the MD's appraisal is a Board matter.</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that PC-GOV-003 include the Board's annual review of Managing Director performance, referencing PC-HR-006 for method.</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F-G5</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44515C"/>
                <w:sz w:val="18"/>
                <w:szCs w:val="18"/>
              </w:rPr>
              <w:t xml:space="preserve">Minor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Segregation of duties was acknowledged for combined roles but no compensating-control principle was stated.</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that PC-GOV-009 (Internal Control Framework) define segregation-of-duties rules and compensating controls where roles combine.</w:t>
            </w:r>
          </w:p>
        </w:tc>
      </w:tr>
    </w:tbl>
    <w:p>
      <w:pPr>
        <w:spacing w:after="200"/>
      </w:pPr>
    </w:p>
    <w:p>
      <w:pPr>
        <w:pStyle w:val="Heading2"/>
        <w:spacing w:after="140" w:before="300"/>
      </w:pPr>
      <w:r>
        <w:rPr>
          <w:rFonts w:ascii="Arial" w:cs="Arial" w:eastAsia="Arial" w:hAnsi="Arial"/>
          <w:b/>
          <w:bCs/>
          <w:color w:val="1E4B50"/>
          <w:sz w:val="24"/>
          <w:szCs w:val="24"/>
        </w:rPr>
        <w:t xml:space="preserve">3.2   </w:t>
      </w:r>
      <w:r>
        <w:rPr>
          <w:rFonts w:ascii="Arial" w:cs="Arial" w:eastAsia="Arial" w:hAnsi="Arial"/>
          <w:b/>
          <w:bCs/>
          <w:color w:val="1F2328"/>
          <w:sz w:val="24"/>
          <w:szCs w:val="24"/>
        </w:rPr>
        <w:t xml:space="preserve">Risk and financial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C2F2F"/>
                <w:sz w:val="18"/>
                <w:szCs w:val="18"/>
              </w:rPr>
              <w:t xml:space="preserve">Critical</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financial governance layer. Nothing governed budgeting, financial controls, payment authorisation beyond the DoA, anti-fraud, or compliance with the Danish Bookkeeping Act's digital bookkeeping requirements. Municipal tenders score financial robustness; auditors will ask for it on day one.</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PC-GOV-011 Financial Governance Manual (owner: Managing Director; approval: Board), covering financial control, budgeting and reporting cycle, anti-fraud position, and Bookkeeping Act alignment. Signing and spending limits remain in PC-GOV-005/006 (single source preserved).</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Business continuity was framed as an IT document (Level 5). For a home-care provider the primary continuity risk is interruption of care to citizens — weather, staffing shock, system outage — and municipal contracts require continuity of service, not just of servers.</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re-scopes PC-IG-010 as the enterprise Business Continuity Plan (owner MD, Board approval — unchanged) with care-continuity as its first scenario set; IT disaster recovery remains PC-IG-011 beneath it.</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Reputational and crisis risk had no instrument: no media/communications policy, no crisis communications protocol. A serious UTH or safeguarding case reaching the press is a foreseeable scenario for any care provider.</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PC-GOV-014 Communications &amp; Crisis Communications Policy (owner MD), interfacing with PC-IG (breach notification) and PC-CLIN-008 (serious incidents).</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F-R4</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2F6B3A"/>
                <w:sz w:val="18"/>
                <w:szCs w:val="18"/>
              </w:rPr>
              <w:t xml:space="preserve">Observation</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risk architecture itself (GOV-008 enterprise frame with CLIN-009 clinical application and domain registers) is sound and needs no change.</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action. The escalation map from operational registers to Board is mandated as content of PC-GOV-008 under Clause 8.4.</w:t>
            </w:r>
          </w:p>
        </w:tc>
      </w:tr>
    </w:tbl>
    <w:p>
      <w:pPr>
        <w:spacing w:after="200"/>
      </w:pPr>
    </w:p>
    <w:p>
      <w:pPr>
        <w:pStyle w:val="Heading2"/>
        <w:spacing w:after="140" w:before="300"/>
      </w:pPr>
      <w:r>
        <w:rPr>
          <w:rFonts w:ascii="Arial" w:cs="Arial" w:eastAsia="Arial" w:hAnsi="Arial"/>
          <w:b/>
          <w:bCs/>
          <w:color w:val="1E4B50"/>
          <w:sz w:val="24"/>
          <w:szCs w:val="24"/>
        </w:rPr>
        <w:t xml:space="preserve">3.3   </w:t>
      </w:r>
      <w:r>
        <w:rPr>
          <w:rFonts w:ascii="Arial" w:cs="Arial" w:eastAsia="Arial" w:hAnsi="Arial"/>
          <w:b/>
          <w:bCs/>
          <w:color w:val="1F2328"/>
          <w:sz w:val="24"/>
          <w:szCs w:val="24"/>
        </w:rPr>
        <w:t xml:space="preserve">Healthcare and clinical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C2F2F"/>
                <w:sz w:val="18"/>
                <w:szCs w:val="18"/>
              </w:rPr>
              <w:t xml:space="preserve">Critical</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manual governed the care model itself: assessment, care planning, §83a rehabilitation-first delivery, citizen goals and review cycles. The clinical suite governed safety around care but not the delivery of care — the thing municipalities actually commission.</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PC-CLIN-011 Care Planning &amp; Rehabilitation Manual (owner: Head of Clinical Services), the authoritative source for assessment, care planning, §83/§83a delivery and review.</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8C2F2F"/>
                <w:sz w:val="18"/>
                <w:szCs w:val="18"/>
              </w:rPr>
              <w:t xml:space="preserve">Critical</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citizen complaints and feedback pathway. Distinct from incident reporting: complaints from citizens and relatives require their own procedure, register, response standards and statutory signposting to Styrelsen for Patientklager and the municipality.</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PC-QMS-010 Complaints &amp; Feedback Management Procedure (owner: Quality &amp; Compliance Manager) and a Complaints Register in the mandatory register set.</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Consent, capacity and use of force (magtanvendelse, serviceloven §§124 ff.) were not explicitly assigned. STPS inspections routinely test consent documentation and coercion rules; leaving them implicit invites inconsistent treatment.</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that PC-CLIN-004 (Safeguarding Manual) explicitly govern informed consent, capacity assessment and magtanvendelse, and the single-source table (11.1) now names it.</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F-H4</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STPS-required clinical instructions (sundhedsfaglige instrukser) were not mapped. Registered treatment sites must hold a defined set of written instructions (medication, delegation, documentation, hygiene, acute deterioration).</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requires (Clause 8.4) that the SOP library include the STPS instruks set as its first tranche, each SOP header identifying the instruks it constitutes.</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F-H5</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44515C"/>
                <w:sz w:val="18"/>
                <w:szCs w:val="18"/>
              </w:rPr>
              <w:t xml:space="preserve">Minor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supervision was implied by the dual accountability line but never named as a governed activity.</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that PC-CLIN-010 define the clinical supervision model (frequency, method, records).</w:t>
            </w:r>
          </w:p>
        </w:tc>
      </w:tr>
    </w:tbl>
    <w:p>
      <w:pPr>
        <w:spacing w:after="200"/>
      </w:pPr>
    </w:p>
    <w:p>
      <w:pPr>
        <w:pStyle w:val="Heading2"/>
        <w:spacing w:after="140" w:before="300"/>
      </w:pPr>
      <w:r>
        <w:rPr>
          <w:rFonts w:ascii="Arial" w:cs="Arial" w:eastAsia="Arial" w:hAnsi="Arial"/>
          <w:b/>
          <w:bCs/>
          <w:color w:val="1E4B50"/>
          <w:sz w:val="24"/>
          <w:szCs w:val="24"/>
        </w:rPr>
        <w:t xml:space="preserve">3.4   </w:t>
      </w:r>
      <w:r>
        <w:rPr>
          <w:rFonts w:ascii="Arial" w:cs="Arial" w:eastAsia="Arial" w:hAnsi="Arial"/>
          <w:b/>
          <w:bCs/>
          <w:color w:val="1F2328"/>
          <w:sz w:val="24"/>
          <w:szCs w:val="24"/>
        </w:rPr>
        <w:t xml:space="preserve">Human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Equality, diversity and inclusion had no named home despite the Equal Treatment and Anti-Discrimination Acts appearing in the legal register.</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PC-HR-012 Equality, Diversity &amp; Inclusion Policy (owner: HR Manager).</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Psychological working environment: the Danish executive order on psykisk arbejdsmiljø (2020) imposes specific duties — high emotional demands, violence, harassment — squarely relevant to lone-working care staff. Neither the HR nor the HSE suite named it.</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PC-HSE-010 Psychological Working Environment Policy (owner: H&amp;S Lead), interfacing with PC-HSE-004/005 and HR wellbeing provisions in PC-HR-002.</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44515C"/>
                <w:sz w:val="18"/>
                <w:szCs w:val="18"/>
              </w:rPr>
              <w:t xml:space="preserve">Minor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Disciplinary and grievance procedures were presumed inside PC-HR-007 but not mandated; criminal record checks (straffeattest, and børneattest where relevant) were presumed inside PC-HR-005 but not mandated.</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both as required contents of PC-HR-007 and PC-HR-005 respectively.</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F-P4</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2F6B3A"/>
                <w:sz w:val="18"/>
                <w:szCs w:val="18"/>
              </w:rPr>
              <w:t xml:space="preserve">Observation</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Recruitment, onboarding, performance, learning, competency and succession are all present and correctly sequenced; no additions required.</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action.</w:t>
            </w:r>
          </w:p>
        </w:tc>
      </w:tr>
    </w:tbl>
    <w:p>
      <w:pPr>
        <w:spacing w:after="200"/>
      </w:pPr>
    </w:p>
    <w:p>
      <w:pPr>
        <w:pStyle w:val="Heading2"/>
        <w:spacing w:after="140" w:before="300"/>
      </w:pPr>
      <w:r>
        <w:rPr>
          <w:rFonts w:ascii="Arial" w:cs="Arial" w:eastAsia="Arial" w:hAnsi="Arial"/>
          <w:b/>
          <w:bCs/>
          <w:color w:val="1E4B50"/>
          <w:sz w:val="24"/>
          <w:szCs w:val="24"/>
        </w:rPr>
        <w:t xml:space="preserve">3.5   </w:t>
      </w:r>
      <w:r>
        <w:rPr>
          <w:rFonts w:ascii="Arial" w:cs="Arial" w:eastAsia="Arial" w:hAnsi="Arial"/>
          <w:b/>
          <w:bCs/>
          <w:color w:val="1F2328"/>
          <w:sz w:val="24"/>
          <w:szCs w:val="24"/>
        </w:rPr>
        <w:t xml:space="preserve">Information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operating machinery was not named: Article 30 records of processing (ROPA), DPIA procedure, breach register and data-processing-agreement register are the artefacts Datatilsynet actually inspects.</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ROPA, DPIA procedure and breach response as required contents of PC-IG-002; the ROPA, DPA register, breach register and information asset register join the mandatory register set (9.8).</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NIS2 readiness was absent. Healthcare is in scope of NIS2 as implemented in Denmark; whether Premium Care falls within thresholds should be assessed and revisited as the company grows, not discovered later.</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a NIS2 applicability assessment and readiness position as required content of PC-IG-003, reviewed annually.</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2F6B3A"/>
                <w:sz w:val="18"/>
                <w:szCs w:val="18"/>
              </w:rPr>
              <w:t xml:space="preserve">Observation</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presence of a dedicated AI Usage Policy (PC-IG-005) at Tier 2 with annual review is ahead of sector practice.</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action.</w:t>
            </w:r>
          </w:p>
        </w:tc>
      </w:tr>
    </w:tbl>
    <w:p>
      <w:pPr>
        <w:spacing w:after="200"/>
      </w:pPr>
    </w:p>
    <w:p>
      <w:pPr>
        <w:pStyle w:val="Heading2"/>
        <w:spacing w:after="140" w:before="300"/>
      </w:pPr>
      <w:r>
        <w:rPr>
          <w:rFonts w:ascii="Arial" w:cs="Arial" w:eastAsia="Arial" w:hAnsi="Arial"/>
          <w:b/>
          <w:bCs/>
          <w:color w:val="1E4B50"/>
          <w:sz w:val="24"/>
          <w:szCs w:val="24"/>
        </w:rPr>
        <w:t xml:space="preserve">3.6   </w:t>
      </w:r>
      <w:r>
        <w:rPr>
          <w:rFonts w:ascii="Arial" w:cs="Arial" w:eastAsia="Arial" w:hAnsi="Arial"/>
          <w:b/>
          <w:bCs/>
          <w:color w:val="1F2328"/>
          <w:sz w:val="24"/>
          <w:szCs w:val="24"/>
        </w:rPr>
        <w:t xml:space="preserve">Quality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F-Q1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Supplier and subcontractor control was missing. ISO 9001 §8.4 (externally provided processes) and municipal subcontracting clauses both require it; a growing provider will subcontract transport, supplies, possibly care capacity.</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PC-QMS-011 Supplier &amp; Subcontractor Management Procedure (owner: Quality &amp; Compliance Manager) and an Approved Supplier Register.</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F-Q2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44515C"/>
                <w:sz w:val="18"/>
                <w:szCs w:val="18"/>
              </w:rPr>
              <w:t xml:space="preserve">Minor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policy and measurable quality objectives (ISO 9001 §§5.2, 6.2) were implied by PC-QMS-001/007 but not mandated.</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the quality policy statement and annually-set quality objectives as required contents of PC-QMS-001, measured through PC-QMS-007.</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F-Q3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2F6B3A"/>
                <w:sz w:val="18"/>
                <w:szCs w:val="18"/>
              </w:rPr>
              <w:t xml:space="preserve">Observation</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CAPA, management review, audit programme and KPI framework map cleanly onto ISO 9001 clauses 9–10; certification-readiness of the design is good.</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action.</w:t>
            </w:r>
          </w:p>
        </w:tc>
      </w:tr>
    </w:tbl>
    <w:p>
      <w:pPr>
        <w:spacing w:after="200"/>
      </w:pPr>
    </w:p>
    <w:p>
      <w:pPr>
        <w:pStyle w:val="Heading2"/>
        <w:spacing w:after="140" w:before="300"/>
      </w:pPr>
      <w:r>
        <w:rPr>
          <w:rFonts w:ascii="Arial" w:cs="Arial" w:eastAsia="Arial" w:hAnsi="Arial"/>
          <w:b/>
          <w:bCs/>
          <w:color w:val="1E4B50"/>
          <w:sz w:val="24"/>
          <w:szCs w:val="24"/>
        </w:rPr>
        <w:t xml:space="preserve">3.7   </w:t>
      </w:r>
      <w:r>
        <w:rPr>
          <w:rFonts w:ascii="Arial" w:cs="Arial" w:eastAsia="Arial" w:hAnsi="Arial"/>
          <w:b/>
          <w:bCs/>
          <w:color w:val="1F2328"/>
          <w:sz w:val="24"/>
          <w:szCs w:val="24"/>
        </w:rPr>
        <w:t xml:space="preserve">Document library, sequencing and registers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F-L1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Sequencing defect: PC-QMS-008 (Document Control Manual) and PC-QMS-009 (Records Management Manual) were scheduled in Phase 5, yet they govern how every Phase 2–4 document is produced, published and archived.</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pulls PC-QMS-008 and PC-QMS-009 forward into Phase 2 alongside the corporate suite. Phasing table (Section 17) revised.</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F-L2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44515C"/>
                <w:sz w:val="18"/>
                <w:szCs w:val="18"/>
              </w:rPr>
              <w:t xml:space="preserve">Minor</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Potential duplication between PC-GOV-001 (Corporate Governance Manual) and PC-GOV-002 (Corporate Governance Framework) if their split is not policed.</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fixes the split: GOV-002 states principles and structures (concise, Tier 1 discipline); GOV-001 consolidates their operation. Verified at Phase 2 cross-reference check.</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F-L3</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mandatory register set was under-specified: v1.0 named the live document register and gestured at training records, but a care provider's assurance rests on a defined family of registers.</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Section 9.8 enumerating twelve mandatory registers with owners: document register; risk register; compliance obligations; conflicts of interest; delegation register (delegated healthcare tasks per employee); training &amp; competency; UTH register; workplace accident register; complaints register; ROPA; data-processing agreements; information assets.</w:t>
            </w:r>
          </w:p>
        </w:tc>
      </w:tr>
    </w:tbl>
    <w:p>
      <w:pPr>
        <w:spacing w:after="200"/>
      </w:pPr>
    </w:p>
    <w:p>
      <w:pPr>
        <w:pStyle w:val="Heading2"/>
        <w:spacing w:after="140" w:before="300"/>
      </w:pPr>
      <w:r>
        <w:rPr>
          <w:rFonts w:ascii="Arial" w:cs="Arial" w:eastAsia="Arial" w:hAnsi="Arial"/>
          <w:b/>
          <w:bCs/>
          <w:color w:val="1E4B50"/>
          <w:sz w:val="24"/>
          <w:szCs w:val="24"/>
        </w:rPr>
        <w:t xml:space="preserve">3.8   </w:t>
      </w:r>
      <w:r>
        <w:rPr>
          <w:rFonts w:ascii="Arial" w:cs="Arial" w:eastAsia="Arial" w:hAnsi="Arial"/>
          <w:b/>
          <w:bCs/>
          <w:color w:val="1F2328"/>
          <w:sz w:val="24"/>
          <w:szCs w:val="24"/>
        </w:rPr>
        <w:t xml:space="preserve">Scalability (10 → 500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00"/>
        <w:gridCol w:w="3226"/>
      </w:tblGrid>
      <w:tr>
        <w:trPr>
          <w:cantSplit/>
          <w:tblHeader/>
        </w:trPr>
        <w:tc>
          <w:tcPr>
            <w:tcW w:type="dxa" w:w="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Ref</w:t>
            </w:r>
          </w:p>
        </w:tc>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Severity</w:t>
            </w:r>
          </w:p>
        </w:tc>
        <w:tc>
          <w:tcPr>
            <w:tcW w:type="dxa" w:w="36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32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Recommendation and disposition in v1.1</w:t>
            </w:r>
          </w:p>
        </w:tc>
      </w:tr>
      <w:tr>
        <w:trPr>
          <w:cantSplit/>
        </w:trPr>
        <w:tc>
          <w:tcPr>
            <w:tcW w:type="dxa" w:w="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F-S1</w:t>
            </w:r>
          </w:p>
        </w:tc>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bCs/>
                <w:color w:val="8A6D1D"/>
                <w:sz w:val="18"/>
                <w:szCs w:val="18"/>
              </w:rPr>
              <w:t xml:space="preserve">Major</w:t>
            </w:r>
          </w:p>
        </w:tc>
        <w:tc>
          <w:tcPr>
            <w:tcW w:type="dxa" w:w="3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Two statutory growth triggers were missing from the threshold model: the whistleblower scheme at 50 employees, and the change in AMO structure (two-level working environment organisation) at 35 employees.</w:t>
            </w:r>
          </w:p>
        </w:tc>
        <w:tc>
          <w:tcPr>
            <w:tcW w:type="dxa" w:w="32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v1.1 adds both to Section 14 as statutory activation thresholds alongside the committee thresholds.</w:t>
            </w:r>
          </w:p>
        </w:tc>
      </w:tr>
      <w:tr>
        <w:trPr>
          <w:cantSplit/>
        </w:trPr>
        <w:tc>
          <w:tcPr>
            <w:tcW w:type="dxa" w:w="9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F-S2</w:t>
            </w:r>
          </w:p>
        </w:tc>
        <w:tc>
          <w:tcPr>
            <w:tcW w:type="dxa" w:w="13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bCs/>
                <w:color w:val="2F6B3A"/>
                <w:sz w:val="18"/>
                <w:szCs w:val="18"/>
              </w:rPr>
              <w:t xml:space="preserve">Observation</w:t>
            </w:r>
          </w:p>
        </w:tc>
        <w:tc>
          <w:tcPr>
            <w:tcW w:type="dxa" w:w="36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core scaling devices — role-based ownership, threshold-activated committees, single national documents with site detail confined to Tiers 3–4, permanent identifiers — hold at 500 employees without redesign. The architecture passes the growth test.</w:t>
            </w:r>
          </w:p>
        </w:tc>
        <w:tc>
          <w:tcPr>
            <w:tcW w:type="dxa" w:w="32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action.</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4   </w:t>
      </w:r>
      <w:r>
        <w:rPr>
          <w:rFonts w:ascii="Arial" w:cs="Arial" w:eastAsia="Arial" w:hAnsi="Arial"/>
          <w:b/>
          <w:bCs/>
          <w:color w:val="1F2328"/>
          <w:sz w:val="30"/>
          <w:szCs w:val="30"/>
        </w:rPr>
        <w:t xml:space="preserve">Missing Documents — Consolidated Schedule</w:t>
      </w:r>
    </w:p>
    <w:p>
      <w:pPr>
        <w:spacing w:after="160" w:line="276"/>
        <w:jc w:val="both"/>
      </w:pPr>
      <w:r>
        <w:rPr>
          <w:rFonts w:ascii="Georgia" w:cs="Georgia" w:eastAsia="Georgia" w:hAnsi="Georgia"/>
          <w:color w:val="1F2328"/>
          <w:sz w:val="21"/>
          <w:szCs w:val="21"/>
        </w:rPr>
        <w:t xml:space="preserve">Nine documents and one register section are added at v1.1. No document was found to be redundant; none is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000"/>
        <w:gridCol w:w="1926"/>
      </w:tblGrid>
      <w:tr>
        <w:trPr>
          <w:cantSplit/>
          <w:tblHeader/>
        </w:trPr>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New ID</w:t>
            </w:r>
          </w:p>
        </w:tc>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2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9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Governance Manual</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Conflicts of Interest Policy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PC-GOV-013</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Whistleblowing Policy &amp; Scheme</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PC-GOV-014</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Communications &amp; Crisis Communications Policy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PC-CLIN-011</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Planning &amp; Rehabilitation Manual</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&amp; Feedback Management Procedure</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PC-QMS-011</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Supplier &amp; Subcontractor Management Procedure</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PC-HR-012</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Equality, Diversity &amp; Inclusion Policy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PC-HSE-010</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Psychological Working Environment Policy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r>
      <w:tr>
        <w:trPr>
          <w:cantSplit/>
        </w:trPr>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§9.8</w:t>
            </w:r>
          </w:p>
        </w:tc>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Mandatory Register Set (twelve registers)</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register</w:t>
            </w:r>
          </w:p>
        </w:tc>
        <w:tc>
          <w:tcPr>
            <w:tcW w:type="dxa" w:w="1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Tier 4 rule</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5   </w:t>
      </w:r>
      <w:r>
        <w:rPr>
          <w:rFonts w:ascii="Arial" w:cs="Arial" w:eastAsia="Arial" w:hAnsi="Arial"/>
          <w:b/>
          <w:bCs/>
          <w:color w:val="1F2328"/>
          <w:sz w:val="30"/>
          <w:szCs w:val="30"/>
        </w:rPr>
        <w:t xml:space="preserve">Priority Actions</w:t>
      </w:r>
    </w:p>
    <w:p>
      <w:pPr>
        <w:pStyle w:val="ListParagraph"/>
        <w:numPr>
          <w:ilvl w:val="0"/>
          <w:numId w:val="2"/>
        </w:numPr>
        <w:spacing w:after="90" w:line="264"/>
      </w:pPr>
      <w:r>
        <w:rPr>
          <w:rFonts w:ascii="Georgia" w:cs="Georgia" w:eastAsia="Georgia" w:hAnsi="Georgia"/>
          <w:b/>
          <w:bCs/>
          <w:color w:val="1F2328"/>
          <w:sz w:val="21"/>
          <w:szCs w:val="21"/>
        </w:rPr>
        <w:t xml:space="preserve">P1 — Approve v1.1.</w:t>
      </w:r>
      <w:r>
        <w:rPr>
          <w:rFonts w:ascii="Georgia" w:cs="Georgia" w:eastAsia="Georgia" w:hAnsi="Georgia"/>
          <w:color w:val="1F2328"/>
          <w:sz w:val="21"/>
          <w:szCs w:val="21"/>
        </w:rPr>
        <w:t xml:space="preserve"> All findings are already incorporated; approval releases Phase 2.</w:t>
      </w:r>
    </w:p>
    <w:p>
      <w:pPr>
        <w:pStyle w:val="ListParagraph"/>
        <w:numPr>
          <w:ilvl w:val="0"/>
          <w:numId w:val="2"/>
        </w:numPr>
        <w:spacing w:after="90" w:line="264"/>
      </w:pPr>
      <w:r>
        <w:rPr>
          <w:rFonts w:ascii="Georgia" w:cs="Georgia" w:eastAsia="Georgia" w:hAnsi="Georgia"/>
          <w:b/>
          <w:bCs/>
          <w:color w:val="1F2328"/>
          <w:sz w:val="21"/>
          <w:szCs w:val="21"/>
        </w:rPr>
        <w:t xml:space="preserve">P2 — Phase 2 now includes document control.</w:t>
      </w:r>
      <w:r>
        <w:rPr>
          <w:rFonts w:ascii="Georgia" w:cs="Georgia" w:eastAsia="Georgia" w:hAnsi="Georgia"/>
          <w:color w:val="1F2328"/>
          <w:sz w:val="21"/>
          <w:szCs w:val="21"/>
        </w:rPr>
        <w:t xml:space="preserve"> Draft PC-QMS-008/009 alongside the corporate suite so every subsequent document is produced under its own rules (F-L1).</w:t>
      </w:r>
    </w:p>
    <w:p>
      <w:pPr>
        <w:pStyle w:val="ListParagraph"/>
        <w:numPr>
          <w:ilvl w:val="0"/>
          <w:numId w:val="2"/>
        </w:numPr>
        <w:spacing w:after="90" w:line="264"/>
      </w:pPr>
      <w:r>
        <w:rPr>
          <w:rFonts w:ascii="Georgia" w:cs="Georgia" w:eastAsia="Georgia" w:hAnsi="Georgia"/>
          <w:b/>
          <w:bCs/>
          <w:color w:val="1F2328"/>
          <w:sz w:val="21"/>
          <w:szCs w:val="21"/>
        </w:rPr>
        <w:t xml:space="preserve">P3 — Stand up the registers early.</w:t>
      </w:r>
      <w:r>
        <w:rPr>
          <w:rFonts w:ascii="Georgia" w:cs="Georgia" w:eastAsia="Georgia" w:hAnsi="Georgia"/>
          <w:color w:val="1F2328"/>
          <w:sz w:val="21"/>
          <w:szCs w:val="21"/>
        </w:rPr>
        <w:t xml:space="preserve"> The twelve registers in §9.8 can exist as controlled instruments before their parent manuals are drafted; several (COI, delegation, training) generate assurance value immediately.</w:t>
      </w:r>
    </w:p>
    <w:p>
      <w:pPr>
        <w:pStyle w:val="ListParagraph"/>
        <w:numPr>
          <w:ilvl w:val="0"/>
          <w:numId w:val="2"/>
        </w:numPr>
        <w:spacing w:after="90" w:line="264"/>
      </w:pPr>
      <w:r>
        <w:rPr>
          <w:rFonts w:ascii="Georgia" w:cs="Georgia" w:eastAsia="Georgia" w:hAnsi="Georgia"/>
          <w:b/>
          <w:bCs/>
          <w:color w:val="1F2328"/>
          <w:sz w:val="21"/>
          <w:szCs w:val="21"/>
        </w:rPr>
        <w:t xml:space="preserve">P4 — Commission the STPS instruks tranche first within Phase 8</w:t>
      </w:r>
      <w:r>
        <w:rPr>
          <w:rFonts w:ascii="Georgia" w:cs="Georgia" w:eastAsia="Georgia" w:hAnsi="Georgia"/>
          <w:color w:val="1F2328"/>
          <w:sz w:val="21"/>
          <w:szCs w:val="21"/>
        </w:rPr>
        <w:t xml:space="preserve">, so the statutory clinical instructions exist the day care delivery begins (F-H4).</w:t>
      </w:r>
    </w:p>
    <w:p>
      <w:pPr>
        <w:pStyle w:val="ListParagraph"/>
        <w:numPr>
          <w:ilvl w:val="0"/>
          <w:numId w:val="2"/>
        </w:numPr>
        <w:spacing w:after="90" w:line="264"/>
      </w:pPr>
      <w:r>
        <w:rPr>
          <w:rFonts w:ascii="Georgia" w:cs="Georgia" w:eastAsia="Georgia" w:hAnsi="Georgia"/>
          <w:b/>
          <w:bCs/>
          <w:color w:val="1F2328"/>
          <w:sz w:val="21"/>
          <w:szCs w:val="21"/>
        </w:rPr>
        <w:t xml:space="preserve">P5 — Diarise the statutory growth triggers</w:t>
      </w:r>
      <w:r>
        <w:rPr>
          <w:rFonts w:ascii="Georgia" w:cs="Georgia" w:eastAsia="Georgia" w:hAnsi="Georgia"/>
          <w:color w:val="1F2328"/>
          <w:sz w:val="21"/>
          <w:szCs w:val="21"/>
        </w:rPr>
        <w:t xml:space="preserve"> (35 and 50 employees) in the governance calendar mandated by Clause 8.4 (F-S1, F-G3).</w:t>
      </w:r>
    </w:p>
    <w:p>
      <w:pPr>
        <w:pStyle w:val="Heading1"/>
        <w:pBdr>
          <w:bottom w:val="single" w:color="1E4B50" w:sz="6"/>
        </w:pBdr>
        <w:spacing w:after="200" w:before="420"/>
      </w:pPr>
      <w:r>
        <w:rPr>
          <w:rFonts w:ascii="Arial" w:cs="Arial" w:eastAsia="Arial" w:hAnsi="Arial"/>
          <w:b/>
          <w:bCs/>
          <w:color w:val="1E4B50"/>
          <w:sz w:val="30"/>
          <w:szCs w:val="30"/>
        </w:rPr>
        <w:t xml:space="preserve">6   </w:t>
      </w:r>
      <w:r>
        <w:rPr>
          <w:rFonts w:ascii="Arial" w:cs="Arial" w:eastAsia="Arial" w:hAnsi="Arial"/>
          <w:b/>
          <w:bCs/>
          <w:color w:val="1F2328"/>
          <w:sz w:val="30"/>
          <w:szCs w:val="30"/>
        </w:rPr>
        <w:t xml:space="preserve">Approval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100" w:line="264"/>
            </w:pPr>
            <w:r>
              <w:rPr>
                <w:rFonts w:ascii="Georgia" w:cs="Georgia" w:eastAsia="Georgia" w:hAnsi="Georgia"/>
                <w:b/>
                <w:bCs/>
                <w:color w:val="1F2328"/>
                <w:sz w:val="20"/>
                <w:szCs w:val="20"/>
              </w:rPr>
              <w:t xml:space="preserve">APPROVE WITH AMENDMENTS — amendments already incorporated.</w:t>
            </w:r>
          </w:p>
          <w:p>
            <w:pPr>
              <w:spacing w:after="0" w:line="264"/>
            </w:pPr>
            <w:r>
              <w:rPr>
                <w:rFonts w:ascii="Georgia" w:cs="Georgia" w:eastAsia="Georgia" w:hAnsi="Georgia"/>
                <w:color w:val="1F2328"/>
                <w:sz w:val="20"/>
                <w:szCs w:val="20"/>
              </w:rPr>
              <w:t xml:space="preserve">PC-GOV-000 Version 1.1 is issued with this report and is recommended to the Board for approval. On approval, Phase 2 production should commence per the revised Section 17. Design maturity at v1.1 is assessed at 90–92/100; the remaining distance to 100 is earned only through operation — drafted documents, working committees, populated registers and audit evidence — not through further architecture.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1" w:sz="4"/>
      </w:pBdr>
      <w:tabs>
        <w:tab w:val="right" w:pos="9026"/>
      </w:tabs>
      <w:spacing w:before="60"/>
    </w:pPr>
    <w:r>
      <w:rPr>
        <w:rFonts w:ascii="Arial" w:cs="Arial" w:eastAsia="Arial" w:hAnsi="Arial"/>
        <w:color w:val="44515C"/>
        <w:sz w:val="14"/>
        <w:szCs w:val="14"/>
      </w:rPr>
      <w:t xml:space="preserve">AUD-2026-001 · Governance Architecture Audit Report · Board Confidential</w:t>
    </w:r>
    <w:r>
      <w:rPr>
        <w:rFonts w:ascii="Arial" w:cs="Arial" w:eastAsia="Arial" w:hAnsi="Arial"/>
        <w:sz w:val="14"/>
        <w:szCs w:val="14"/>
      </w:rPr>
      <w:t xml:space="preserve">	</w:t>
    </w:r>
    <w:r>
      <w:rPr>
        <w:rFonts w:ascii="Arial" w:cs="Arial" w:eastAsia="Arial" w:hAnsi="Arial"/>
        <w:color w:val="44515C"/>
        <w:sz w:val="14"/>
        <w:szCs w:val="14"/>
      </w:rPr>
      <w:t xml:space="preserve">Page </w:t>
    </w:r>
    <w:r>
      <w:rPr>
        <w:rFonts w:ascii="Arial" w:cs="Arial" w:eastAsia="Arial" w:hAnsi="Arial"/>
        <w:b/>
        <w:bCs/>
        <w:color w:val="1E4B50"/>
        <w:sz w:val="14"/>
        <w:szCs w:val="14"/>
      </w:rPr>
      <w:fldChar w:fldCharType="begin"/>
      <w:instrText xml:space="preserve">PAGE</w:instrText>
      <w:fldChar w:fldCharType="separate"/>
      <w:fldChar w:fldCharType="end"/>
    </w:r>
    <w:r>
      <w:rPr>
        <w:rFonts w:ascii="Arial" w:cs="Arial" w:eastAsia="Arial" w:hAnsi="Arial"/>
        <w:color w:val="44515C"/>
        <w:sz w:val="14"/>
        <w:szCs w:val="14"/>
      </w:rPr>
      <w:t xml:space="preserve"> of </w:t>
    </w:r>
    <w:r>
      <w:rPr>
        <w:rFonts w:ascii="Arial" w:cs="Arial" w:eastAsia="Arial" w:hAnsi="Arial"/>
        <w:color w:val="4451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b/>
        <w:bCs/>
        <w:color w:val="1E4B50"/>
      </w:r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Architecture Audit Report (AUD-2026-001)</dc:title>
  <dc:creator>Premium Care ApS</dc:creator>
  <cp:lastModifiedBy>Un-named</cp:lastModifiedBy>
  <cp:revision>1</cp:revision>
  <dcterms:created xsi:type="dcterms:W3CDTF">2026-07-06T18:34:11.900Z</dcterms:created>
  <dcterms:modified xsi:type="dcterms:W3CDTF">2026-07-06T18:34:11.900Z</dcterms:modified>
</cp:coreProperties>
</file>

<file path=docProps/custom.xml><?xml version="1.0" encoding="utf-8"?>
<Properties xmlns="http://schemas.openxmlformats.org/officeDocument/2006/custom-properties" xmlns:vt="http://schemas.openxmlformats.org/officeDocument/2006/docPropsVTypes"/>
</file>