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Bdr>
          <w:top w:val="single" w:color="1E4B50" w:sz="8"/>
        </w:pBdr>
        <w:spacing w:after="60"/>
      </w:pPr>
    </w:p>
    <w:p>
      <w:pPr>
        <w:spacing w:after="60"/>
      </w:pPr>
      <w:r>
        <w:rPr>
          <w:rFonts w:ascii="Arial" w:cs="Arial" w:eastAsia="Arial" w:hAnsi="Arial"/>
          <w:b/>
          <w:bCs/>
          <w:color w:val="1E4B50"/>
          <w:spacing w:val="60"/>
          <w:sz w:val="26"/>
          <w:szCs w:val="26"/>
        </w:rPr>
        <w:t xml:space="preserve">PREMIUM CARE ApS</w:t>
      </w:r>
    </w:p>
    <w:p>
      <w:pPr>
        <w:spacing w:after="40"/>
      </w:pPr>
      <w:r>
        <w:rPr>
          <w:rFonts w:ascii="Arial" w:cs="Arial" w:eastAsia="Arial" w:hAnsi="Arial"/>
          <w:color w:val="44515C"/>
          <w:spacing w:val="40"/>
          <w:sz w:val="18"/>
          <w:szCs w:val="18"/>
        </w:rPr>
        <w:t xml:space="preserve">Governance Library</w:t>
      </w:r>
    </w:p>
    <w:p>
      <w:pPr>
        <w:spacing w:after="900"/>
      </w:pPr>
    </w:p>
    <w:p>
      <w:pPr>
        <w:spacing w:after="160"/>
      </w:pPr>
      <w:r>
        <w:rPr>
          <w:rFonts w:ascii="Georgia" w:cs="Georgia" w:eastAsia="Georgia" w:hAnsi="Georgia"/>
          <w:color w:val="1F2328"/>
          <w:sz w:val="64"/>
          <w:szCs w:val="64"/>
        </w:rPr>
        <w:t xml:space="preserve">Governance Architecture</w:t>
      </w:r>
    </w:p>
    <w:p>
      <w:pPr>
        <w:spacing w:after="300"/>
      </w:pPr>
      <w:r>
        <w:rPr>
          <w:rFonts w:ascii="Georgia" w:cs="Georgia" w:eastAsia="Georgia" w:hAnsi="Georgia"/>
          <w:color w:val="1F2328"/>
          <w:sz w:val="64"/>
          <w:szCs w:val="64"/>
        </w:rPr>
        <w:t xml:space="preserve">Specification</w:t>
      </w:r>
    </w:p>
    <w:p>
      <w:pPr>
        <w:spacing w:after="100"/>
      </w:pPr>
      <w:r>
        <w:rPr>
          <w:rFonts w:ascii="Georgia" w:cs="Georgia" w:eastAsia="Georgia" w:hAnsi="Georgia"/>
          <w:i/>
          <w:iCs/>
          <w:color w:val="44515C"/>
          <w:sz w:val="22"/>
          <w:szCs w:val="22"/>
        </w:rPr>
        <w:t xml:space="preserve">The controlling document of the Premium Care ApS governance ecosystem: hierarchy, numbering, ownership, approval, review, relationships and control of all governance documentation.</w:t>
      </w:r>
    </w:p>
    <w:p>
      <w:pPr>
        <w:spacing w:after="2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0 — Architecture (controls all tiers)</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Version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 (Draft for Board approval)</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Classification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Controlled Document — Internal</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Authority</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Date</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   </w:t>
      </w:r>
      <w:r>
        <w:rPr>
          <w:rFonts w:ascii="Arial" w:cs="Arial" w:eastAsia="Arial" w:hAnsi="Arial"/>
          <w:b/>
          <w:bCs/>
          <w:color w:val="1F2328"/>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title</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Architecture Specification</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Version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Draft — pending Board approval</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owner</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Author</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design engagement (external consultancy standard)</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authority</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Effective date</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Upon Board approval</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 frequency</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 and upon any change to the document library, organisational structure or committee structure</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Distribution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 Executive Management; all document owners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Language standard</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British English</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Supersedes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None — inaugural issue</w:t>
            </w:r>
          </w:p>
        </w:tc>
      </w:tr>
    </w:tbl>
    <w:p>
      <w:pPr>
        <w:spacing w:after="200"/>
      </w:pP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800"/>
        <w:gridCol w:w="3326"/>
      </w:tblGrid>
      <w:tr>
        <w:trPr>
          <w:cantSplit/>
          <w:tblHeader/>
        </w:trPr>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Version</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Date</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Author</w:t>
            </w:r>
          </w:p>
        </w:tc>
        <w:tc>
          <w:tcPr>
            <w:tcW w:type="dxa" w:w="33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Summary of change</w:t>
            </w:r>
          </w:p>
        </w:tc>
      </w:tr>
      <w:tr>
        <w:trPr>
          <w:cantSplit/>
        </w:trPr>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design team</w:t>
            </w:r>
          </w:p>
        </w:tc>
        <w:tc>
          <w:tcPr>
            <w:tcW w:type="dxa" w:w="3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Initial architecture drafted from the approved Governance Library mandate.</w:t>
            </w:r>
          </w:p>
        </w:tc>
      </w:tr>
      <w:tr>
        <w:trPr>
          <w:cantSplit/>
        </w:trPr>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c>
          <w:tcPr>
            <w:tcW w:type="dxa" w:w="33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Issued upon Board approval. No document in the library may be drafted before this approval (Clause 17.2).</w:t>
            </w:r>
          </w:p>
        </w:tc>
      </w:tr>
    </w:tbl>
    <w:p>
      <w:pPr>
        <w:spacing w:after="200"/>
      </w:pP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Role</w:t>
            </w:r>
          </w:p>
        </w:tc>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Name / Signature</w:t>
            </w:r>
          </w:p>
        </w:tc>
        <w:tc>
          <w:tcPr>
            <w:tcW w:type="dxa" w:w="30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Date</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Chair, Board of Directors</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   </w:t>
      </w:r>
      <w:r>
        <w:rPr>
          <w:rFonts w:ascii="Arial" w:cs="Arial" w:eastAsia="Arial" w:hAnsi="Arial"/>
          <w:b/>
          <w:bCs/>
          <w:color w:val="1F2328"/>
          <w:sz w:val="30"/>
          <w:szCs w:val="30"/>
        </w:rPr>
        <w:t xml:space="preserve">Contents</w:t>
      </w:r>
    </w:p>
    <w:p>
      <w:pPr>
        <w:tabs>
          <w:tab w:val="left" w:pos="700"/>
        </w:tabs>
        <w:spacing w:after="110"/>
      </w:pPr>
      <w:r>
        <w:rPr>
          <w:rFonts w:ascii="Arial" w:cs="Arial" w:eastAsia="Arial" w:hAnsi="Arial"/>
          <w:b/>
          <w:bCs/>
          <w:color w:val="1E4B50"/>
          <w:sz w:val="21"/>
          <w:szCs w:val="21"/>
        </w:rPr>
        <w:t xml:space="preserve">1</w:t>
      </w:r>
      <w:r>
        <w:rPr>
          <w:rFonts w:ascii="Georgia" w:cs="Georgia" w:eastAsia="Georgia" w:hAnsi="Georgia"/>
          <w:color w:val="1F2328"/>
          <w:sz w:val="21"/>
          <w:szCs w:val="21"/>
        </w:rPr>
        <w:t xml:space="preserve">	Purpose</w:t>
      </w:r>
    </w:p>
    <w:p>
      <w:pPr>
        <w:tabs>
          <w:tab w:val="left" w:pos="700"/>
        </w:tabs>
        <w:spacing w:after="110"/>
      </w:pPr>
      <w:r>
        <w:rPr>
          <w:rFonts w:ascii="Arial" w:cs="Arial" w:eastAsia="Arial" w:hAnsi="Arial"/>
          <w:b/>
          <w:bCs/>
          <w:color w:val="1E4B50"/>
          <w:sz w:val="21"/>
          <w:szCs w:val="21"/>
        </w:rPr>
        <w:t xml:space="preserve">2</w:t>
      </w:r>
      <w:r>
        <w:rPr>
          <w:rFonts w:ascii="Georgia" w:cs="Georgia" w:eastAsia="Georgia" w:hAnsi="Georgia"/>
          <w:color w:val="1F2328"/>
          <w:sz w:val="21"/>
          <w:szCs w:val="21"/>
        </w:rPr>
        <w:t xml:space="preserve">	Scope</w:t>
      </w:r>
    </w:p>
    <w:p>
      <w:pPr>
        <w:tabs>
          <w:tab w:val="left" w:pos="700"/>
        </w:tabs>
        <w:spacing w:after="110"/>
      </w:pPr>
      <w:r>
        <w:rPr>
          <w:rFonts w:ascii="Arial" w:cs="Arial" w:eastAsia="Arial" w:hAnsi="Arial"/>
          <w:b/>
          <w:bCs/>
          <w:color w:val="1E4B50"/>
          <w:sz w:val="21"/>
          <w:szCs w:val="21"/>
        </w:rPr>
        <w:t xml:space="preserve">3</w:t>
      </w:r>
      <w:r>
        <w:rPr>
          <w:rFonts w:ascii="Georgia" w:cs="Georgia" w:eastAsia="Georgia" w:hAnsi="Georgia"/>
          <w:color w:val="1F2328"/>
          <w:sz w:val="21"/>
          <w:szCs w:val="21"/>
        </w:rPr>
        <w:t xml:space="preserve">	Definitions</w:t>
      </w:r>
    </w:p>
    <w:p>
      <w:pPr>
        <w:tabs>
          <w:tab w:val="left" w:pos="700"/>
        </w:tabs>
        <w:spacing w:after="110"/>
      </w:pPr>
      <w:r>
        <w:rPr>
          <w:rFonts w:ascii="Arial" w:cs="Arial" w:eastAsia="Arial" w:hAnsi="Arial"/>
          <w:b/>
          <w:bCs/>
          <w:color w:val="1E4B50"/>
          <w:sz w:val="21"/>
          <w:szCs w:val="21"/>
        </w:rPr>
        <w:t xml:space="preserve">4</w:t>
      </w:r>
      <w:r>
        <w:rPr>
          <w:rFonts w:ascii="Georgia" w:cs="Georgia" w:eastAsia="Georgia" w:hAnsi="Georgia"/>
          <w:color w:val="1F2328"/>
          <w:sz w:val="21"/>
          <w:szCs w:val="21"/>
        </w:rPr>
        <w:t xml:space="preserve">	Legal and Regulatory Framework</w:t>
      </w:r>
    </w:p>
    <w:p>
      <w:pPr>
        <w:tabs>
          <w:tab w:val="left" w:pos="700"/>
        </w:tabs>
        <w:spacing w:after="110"/>
      </w:pPr>
      <w:r>
        <w:rPr>
          <w:rFonts w:ascii="Arial" w:cs="Arial" w:eastAsia="Arial" w:hAnsi="Arial"/>
          <w:b/>
          <w:bCs/>
          <w:color w:val="1E4B50"/>
          <w:sz w:val="21"/>
          <w:szCs w:val="21"/>
        </w:rPr>
        <w:t xml:space="preserve">5</w:t>
      </w:r>
      <w:r>
        <w:rPr>
          <w:rFonts w:ascii="Georgia" w:cs="Georgia" w:eastAsia="Georgia" w:hAnsi="Georgia"/>
          <w:color w:val="1F2328"/>
          <w:sz w:val="21"/>
          <w:szCs w:val="21"/>
        </w:rPr>
        <w:t xml:space="preserve">	Governance Philosophy and Design Principles</w:t>
      </w:r>
    </w:p>
    <w:p>
      <w:pPr>
        <w:tabs>
          <w:tab w:val="left" w:pos="700"/>
        </w:tabs>
        <w:spacing w:after="110"/>
      </w:pPr>
      <w:r>
        <w:rPr>
          <w:rFonts w:ascii="Arial" w:cs="Arial" w:eastAsia="Arial" w:hAnsi="Arial"/>
          <w:b/>
          <w:bCs/>
          <w:color w:val="1E4B50"/>
          <w:sz w:val="21"/>
          <w:szCs w:val="21"/>
        </w:rPr>
        <w:t xml:space="preserve">6</w:t>
      </w:r>
      <w:r>
        <w:rPr>
          <w:rFonts w:ascii="Georgia" w:cs="Georgia" w:eastAsia="Georgia" w:hAnsi="Georgia"/>
          <w:color w:val="1F2328"/>
          <w:sz w:val="21"/>
          <w:szCs w:val="21"/>
        </w:rPr>
        <w:t xml:space="preserve">	Document Hierarchy</w:t>
      </w:r>
    </w:p>
    <w:p>
      <w:pPr>
        <w:tabs>
          <w:tab w:val="left" w:pos="700"/>
        </w:tabs>
        <w:spacing w:after="110"/>
      </w:pPr>
      <w:r>
        <w:rPr>
          <w:rFonts w:ascii="Arial" w:cs="Arial" w:eastAsia="Arial" w:hAnsi="Arial"/>
          <w:b/>
          <w:bCs/>
          <w:color w:val="1E4B50"/>
          <w:sz w:val="21"/>
          <w:szCs w:val="21"/>
        </w:rPr>
        <w:t xml:space="preserve">7</w:t>
      </w:r>
      <w:r>
        <w:rPr>
          <w:rFonts w:ascii="Georgia" w:cs="Georgia" w:eastAsia="Georgia" w:hAnsi="Georgia"/>
          <w:color w:val="1F2328"/>
          <w:sz w:val="21"/>
          <w:szCs w:val="21"/>
        </w:rPr>
        <w:t xml:space="preserve">	Document Numbering Convention</w:t>
      </w:r>
    </w:p>
    <w:p>
      <w:pPr>
        <w:tabs>
          <w:tab w:val="left" w:pos="700"/>
        </w:tabs>
        <w:spacing w:after="110"/>
      </w:pPr>
      <w:r>
        <w:rPr>
          <w:rFonts w:ascii="Arial" w:cs="Arial" w:eastAsia="Arial" w:hAnsi="Arial"/>
          <w:b/>
          <w:bCs/>
          <w:color w:val="1E4B50"/>
          <w:sz w:val="21"/>
          <w:szCs w:val="21"/>
        </w:rPr>
        <w:t xml:space="preserve">8</w:t>
      </w:r>
      <w:r>
        <w:rPr>
          <w:rFonts w:ascii="Georgia" w:cs="Georgia" w:eastAsia="Georgia" w:hAnsi="Georgia"/>
          <w:color w:val="1F2328"/>
          <w:sz w:val="21"/>
          <w:szCs w:val="21"/>
        </w:rPr>
        <w:t xml:space="preserve">	Ownership, Approval and Review Model</w:t>
      </w:r>
    </w:p>
    <w:p>
      <w:pPr>
        <w:tabs>
          <w:tab w:val="left" w:pos="700"/>
        </w:tabs>
        <w:spacing w:after="110"/>
      </w:pPr>
      <w:r>
        <w:rPr>
          <w:rFonts w:ascii="Arial" w:cs="Arial" w:eastAsia="Arial" w:hAnsi="Arial"/>
          <w:b/>
          <w:bCs/>
          <w:color w:val="1E4B50"/>
          <w:sz w:val="21"/>
          <w:szCs w:val="21"/>
        </w:rPr>
        <w:t xml:space="preserve">9</w:t>
      </w:r>
      <w:r>
        <w:rPr>
          <w:rFonts w:ascii="Georgia" w:cs="Georgia" w:eastAsia="Georgia" w:hAnsi="Georgia"/>
          <w:color w:val="1F2328"/>
          <w:sz w:val="21"/>
          <w:szCs w:val="21"/>
        </w:rPr>
        <w:t xml:space="preserve">	Master Document Register</w:t>
      </w:r>
    </w:p>
    <w:p>
      <w:pPr>
        <w:tabs>
          <w:tab w:val="left" w:pos="700"/>
        </w:tabs>
        <w:spacing w:after="110"/>
      </w:pPr>
      <w:r>
        <w:rPr>
          <w:rFonts w:ascii="Arial" w:cs="Arial" w:eastAsia="Arial" w:hAnsi="Arial"/>
          <w:b/>
          <w:bCs/>
          <w:color w:val="1E4B50"/>
          <w:sz w:val="21"/>
          <w:szCs w:val="21"/>
        </w:rPr>
        <w:t xml:space="preserve">10</w:t>
      </w:r>
      <w:r>
        <w:rPr>
          <w:rFonts w:ascii="Georgia" w:cs="Georgia" w:eastAsia="Georgia" w:hAnsi="Georgia"/>
          <w:color w:val="1F2328"/>
          <w:sz w:val="21"/>
          <w:szCs w:val="21"/>
        </w:rPr>
        <w:t xml:space="preserve">	Version Control Standard</w:t>
      </w:r>
    </w:p>
    <w:p>
      <w:pPr>
        <w:tabs>
          <w:tab w:val="left" w:pos="700"/>
        </w:tabs>
        <w:spacing w:after="110"/>
      </w:pPr>
      <w:r>
        <w:rPr>
          <w:rFonts w:ascii="Arial" w:cs="Arial" w:eastAsia="Arial" w:hAnsi="Arial"/>
          <w:b/>
          <w:bCs/>
          <w:color w:val="1E4B50"/>
          <w:sz w:val="21"/>
          <w:szCs w:val="21"/>
        </w:rPr>
        <w:t xml:space="preserve">11</w:t>
      </w:r>
      <w:r>
        <w:rPr>
          <w:rFonts w:ascii="Georgia" w:cs="Georgia" w:eastAsia="Georgia" w:hAnsi="Georgia"/>
          <w:color w:val="1F2328"/>
          <w:sz w:val="21"/>
          <w:szCs w:val="21"/>
        </w:rPr>
        <w:t xml:space="preserve">	Document Relationships and the Single-Source Rule</w:t>
      </w:r>
    </w:p>
    <w:p>
      <w:pPr>
        <w:tabs>
          <w:tab w:val="left" w:pos="700"/>
        </w:tabs>
        <w:spacing w:after="110"/>
      </w:pPr>
      <w:r>
        <w:rPr>
          <w:rFonts w:ascii="Arial" w:cs="Arial" w:eastAsia="Arial" w:hAnsi="Arial"/>
          <w:b/>
          <w:bCs/>
          <w:color w:val="1E4B50"/>
          <w:sz w:val="21"/>
          <w:szCs w:val="21"/>
        </w:rPr>
        <w:t xml:space="preserve">12</w:t>
      </w:r>
      <w:r>
        <w:rPr>
          <w:rFonts w:ascii="Georgia" w:cs="Georgia" w:eastAsia="Georgia" w:hAnsi="Georgia"/>
          <w:color w:val="1F2328"/>
          <w:sz w:val="21"/>
          <w:szCs w:val="21"/>
        </w:rPr>
        <w:t xml:space="preserve">	Governance Map</w:t>
      </w:r>
    </w:p>
    <w:p>
      <w:pPr>
        <w:tabs>
          <w:tab w:val="left" w:pos="700"/>
        </w:tabs>
        <w:spacing w:after="110"/>
      </w:pPr>
      <w:r>
        <w:rPr>
          <w:rFonts w:ascii="Arial" w:cs="Arial" w:eastAsia="Arial" w:hAnsi="Arial"/>
          <w:b/>
          <w:bCs/>
          <w:color w:val="1E4B50"/>
          <w:sz w:val="21"/>
          <w:szCs w:val="21"/>
        </w:rPr>
        <w:t xml:space="preserve">13</w:t>
      </w:r>
      <w:r>
        <w:rPr>
          <w:rFonts w:ascii="Georgia" w:cs="Georgia" w:eastAsia="Georgia" w:hAnsi="Georgia"/>
          <w:color w:val="1F2328"/>
          <w:sz w:val="21"/>
          <w:szCs w:val="21"/>
        </w:rPr>
        <w:t xml:space="preserve">	Organisational and Reporting Structure</w:t>
      </w:r>
    </w:p>
    <w:p>
      <w:pPr>
        <w:tabs>
          <w:tab w:val="left" w:pos="700"/>
        </w:tabs>
        <w:spacing w:after="110"/>
      </w:pPr>
      <w:r>
        <w:rPr>
          <w:rFonts w:ascii="Arial" w:cs="Arial" w:eastAsia="Arial" w:hAnsi="Arial"/>
          <w:b/>
          <w:bCs/>
          <w:color w:val="1E4B50"/>
          <w:sz w:val="21"/>
          <w:szCs w:val="21"/>
        </w:rPr>
        <w:t xml:space="preserve">14</w:t>
      </w:r>
      <w:r>
        <w:rPr>
          <w:rFonts w:ascii="Georgia" w:cs="Georgia" w:eastAsia="Georgia" w:hAnsi="Georgia"/>
          <w:color w:val="1F2328"/>
          <w:sz w:val="21"/>
          <w:szCs w:val="21"/>
        </w:rPr>
        <w:t xml:space="preserve">	Committee Structure</w:t>
      </w:r>
    </w:p>
    <w:p>
      <w:pPr>
        <w:tabs>
          <w:tab w:val="left" w:pos="700"/>
        </w:tabs>
        <w:spacing w:after="110"/>
      </w:pPr>
      <w:r>
        <w:rPr>
          <w:rFonts w:ascii="Arial" w:cs="Arial" w:eastAsia="Arial" w:hAnsi="Arial"/>
          <w:b/>
          <w:bCs/>
          <w:color w:val="1E4B50"/>
          <w:sz w:val="21"/>
          <w:szCs w:val="21"/>
        </w:rPr>
        <w:t xml:space="preserve">15</w:t>
      </w:r>
      <w:r>
        <w:rPr>
          <w:rFonts w:ascii="Georgia" w:cs="Georgia" w:eastAsia="Georgia" w:hAnsi="Georgia"/>
          <w:color w:val="1F2328"/>
          <w:sz w:val="21"/>
          <w:szCs w:val="21"/>
        </w:rPr>
        <w:t xml:space="preserve">	Document Control Process</w:t>
      </w:r>
    </w:p>
    <w:p>
      <w:pPr>
        <w:tabs>
          <w:tab w:val="left" w:pos="700"/>
        </w:tabs>
        <w:spacing w:after="110"/>
      </w:pPr>
      <w:r>
        <w:rPr>
          <w:rFonts w:ascii="Arial" w:cs="Arial" w:eastAsia="Arial" w:hAnsi="Arial"/>
          <w:b/>
          <w:bCs/>
          <w:color w:val="1E4B50"/>
          <w:sz w:val="21"/>
          <w:szCs w:val="21"/>
        </w:rPr>
        <w:t xml:space="preserve">16</w:t>
      </w:r>
      <w:r>
        <w:rPr>
          <w:rFonts w:ascii="Georgia" w:cs="Georgia" w:eastAsia="Georgia" w:hAnsi="Georgia"/>
          <w:color w:val="1F2328"/>
          <w:sz w:val="21"/>
          <w:szCs w:val="21"/>
        </w:rPr>
        <w:t xml:space="preserve">	Integration of Existing Documentation</w:t>
      </w:r>
    </w:p>
    <w:p>
      <w:pPr>
        <w:tabs>
          <w:tab w:val="left" w:pos="700"/>
        </w:tabs>
        <w:spacing w:after="110"/>
      </w:pPr>
      <w:r>
        <w:rPr>
          <w:rFonts w:ascii="Arial" w:cs="Arial" w:eastAsia="Arial" w:hAnsi="Arial"/>
          <w:b/>
          <w:bCs/>
          <w:color w:val="1E4B50"/>
          <w:sz w:val="21"/>
          <w:szCs w:val="21"/>
        </w:rPr>
        <w:t xml:space="preserve">17</w:t>
      </w:r>
      <w:r>
        <w:rPr>
          <w:rFonts w:ascii="Georgia" w:cs="Georgia" w:eastAsia="Georgia" w:hAnsi="Georgia"/>
          <w:color w:val="1F2328"/>
          <w:sz w:val="21"/>
          <w:szCs w:val="21"/>
        </w:rPr>
        <w:t xml:space="preserve">	Production Phasing and Approval Gate</w:t>
      </w:r>
    </w:p>
    <w:p>
      <w:pPr>
        <w:tabs>
          <w:tab w:val="left" w:pos="700"/>
        </w:tabs>
        <w:spacing w:after="110"/>
      </w:pPr>
      <w:r>
        <w:rPr>
          <w:rFonts w:ascii="Arial" w:cs="Arial" w:eastAsia="Arial" w:hAnsi="Arial"/>
          <w:b/>
          <w:bCs/>
          <w:color w:val="1E4B50"/>
          <w:sz w:val="21"/>
          <w:szCs w:val="21"/>
        </w:rPr>
        <w:t xml:space="preserve">18</w:t>
      </w:r>
      <w:r>
        <w:rPr>
          <w:rFonts w:ascii="Georgia" w:cs="Georgia" w:eastAsia="Georgia" w:hAnsi="Georgia"/>
          <w:color w:val="1F2328"/>
          <w:sz w:val="21"/>
          <w:szCs w:val="21"/>
        </w:rPr>
        <w:t xml:space="preserve">	Monitoring, Audit and KPIs</w:t>
      </w:r>
    </w:p>
    <w:p>
      <w:pPr>
        <w:tabs>
          <w:tab w:val="left" w:pos="700"/>
        </w:tabs>
        <w:spacing w:after="110"/>
      </w:pPr>
      <w:r>
        <w:rPr>
          <w:rFonts w:ascii="Arial" w:cs="Arial" w:eastAsia="Arial" w:hAnsi="Arial"/>
          <w:b/>
          <w:bCs/>
          <w:color w:val="1E4B50"/>
          <w:sz w:val="21"/>
          <w:szCs w:val="21"/>
        </w:rPr>
        <w:t xml:space="preserve">19</w:t>
      </w:r>
      <w:r>
        <w:rPr>
          <w:rFonts w:ascii="Georgia" w:cs="Georgia" w:eastAsia="Georgia" w:hAnsi="Georgia"/>
          <w:color w:val="1F2328"/>
          <w:sz w:val="21"/>
          <w:szCs w:val="21"/>
        </w:rPr>
        <w:t xml:space="preserve">	Related Documents and References</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1   </w:t>
      </w:r>
      <w:r>
        <w:rPr>
          <w:rFonts w:ascii="Arial" w:cs="Arial" w:eastAsia="Arial" w:hAnsi="Arial"/>
          <w:b/>
          <w:bCs/>
          <w:color w:val="1F2328"/>
          <w:sz w:val="30"/>
          <w:szCs w:val="30"/>
        </w:rPr>
        <w:t xml:space="preserve">Purpose</w:t>
      </w:r>
    </w:p>
    <w:p>
      <w:pPr>
        <w:spacing w:after="160" w:line="276"/>
        <w:jc w:val="both"/>
      </w:pPr>
      <w:r>
        <w:rPr>
          <w:rFonts w:ascii="Georgia" w:cs="Georgia" w:eastAsia="Georgia" w:hAnsi="Georgia"/>
          <w:color w:val="1F2328"/>
          <w:sz w:val="21"/>
          <w:szCs w:val="21"/>
        </w:rPr>
        <w:t xml:space="preserve">This Specification is the controlling document of the Premium Care ApS governance library. It defines the architecture within which every governance document is created, numbered, owned, approved, reviewed, related to other documents, and ultimately retired. It exists so that the library develops as </w:t>
      </w:r>
      <w:r>
        <w:rPr>
          <w:rFonts w:ascii="Georgia" w:cs="Georgia" w:eastAsia="Georgia" w:hAnsi="Georgia"/>
          <w:b/>
          <w:bCs/>
          <w:color w:val="1F2328"/>
          <w:sz w:val="21"/>
          <w:szCs w:val="21"/>
        </w:rPr>
        <w:t xml:space="preserve">one integrated governance ecosystem</w:t>
      </w:r>
      <w:r>
        <w:rPr>
          <w:rFonts w:ascii="Georgia" w:cs="Georgia" w:eastAsia="Georgia" w:hAnsi="Georgia"/>
          <w:color w:val="1F2328"/>
          <w:sz w:val="21"/>
          <w:szCs w:val="21"/>
        </w:rPr>
        <w:t xml:space="preserve"> rather than a collection of standalone manuals.</w:t>
      </w:r>
    </w:p>
    <w:p>
      <w:pPr>
        <w:spacing w:after="160" w:line="276"/>
        <w:jc w:val="both"/>
      </w:pPr>
      <w:r>
        <w:rPr>
          <w:rFonts w:ascii="Georgia" w:cs="Georgia" w:eastAsia="Georgia" w:hAnsi="Georgia"/>
          <w:color w:val="1F2328"/>
          <w:sz w:val="21"/>
          <w:szCs w:val="21"/>
        </w:rPr>
        <w:t xml:space="preserve">The Specification serves four purposes:</w:t>
      </w:r>
    </w:p>
    <w:p>
      <w:pPr>
        <w:pStyle w:val="ListParagraph"/>
        <w:numPr>
          <w:ilvl w:val="0"/>
          <w:numId w:val="2"/>
        </w:numPr>
        <w:spacing w:after="90" w:line="264"/>
      </w:pPr>
      <w:r>
        <w:rPr>
          <w:rFonts w:ascii="Georgia" w:cs="Georgia" w:eastAsia="Georgia" w:hAnsi="Georgia"/>
          <w:b/>
          <w:bCs/>
          <w:color w:val="1F2328"/>
          <w:sz w:val="21"/>
          <w:szCs w:val="21"/>
        </w:rPr>
        <w:t xml:space="preserve">Coherence.</w:t>
      </w:r>
      <w:r>
        <w:rPr>
          <w:rFonts w:ascii="Georgia" w:cs="Georgia" w:eastAsia="Georgia" w:hAnsi="Georgia"/>
          <w:color w:val="1F2328"/>
          <w:sz w:val="21"/>
          <w:szCs w:val="21"/>
        </w:rPr>
        <w:t xml:space="preserve"> It establishes a single hierarchy, numbering convention and cross-reference model, so that every policy exists once and only once, and every manual knows where authority for each topic resides.</w:t>
      </w:r>
    </w:p>
    <w:p>
      <w:pPr>
        <w:pStyle w:val="ListParagraph"/>
        <w:numPr>
          <w:ilvl w:val="0"/>
          <w:numId w:val="2"/>
        </w:numPr>
        <w:spacing w:after="90" w:line="264"/>
      </w:pPr>
      <w:r>
        <w:rPr>
          <w:rFonts w:ascii="Georgia" w:cs="Georgia" w:eastAsia="Georgia" w:hAnsi="Georgia"/>
          <w:b/>
          <w:bCs/>
          <w:color w:val="1F2328"/>
          <w:sz w:val="21"/>
          <w:szCs w:val="21"/>
        </w:rPr>
        <w:t xml:space="preserve">Accountability.</w:t>
      </w:r>
      <w:r>
        <w:rPr>
          <w:rFonts w:ascii="Georgia" w:cs="Georgia" w:eastAsia="Georgia" w:hAnsi="Georgia"/>
          <w:color w:val="1F2328"/>
          <w:sz w:val="21"/>
          <w:szCs w:val="21"/>
        </w:rPr>
        <w:t xml:space="preserve"> It assigns a named owner and an approval authority to every document before that document is written.</w:t>
      </w:r>
    </w:p>
    <w:p>
      <w:pPr>
        <w:pStyle w:val="ListParagraph"/>
        <w:numPr>
          <w:ilvl w:val="0"/>
          <w:numId w:val="2"/>
        </w:numPr>
        <w:spacing w:after="90" w:line="264"/>
      </w:pPr>
      <w:r>
        <w:rPr>
          <w:rFonts w:ascii="Georgia" w:cs="Georgia" w:eastAsia="Georgia" w:hAnsi="Georgia"/>
          <w:b/>
          <w:bCs/>
          <w:color w:val="1F2328"/>
          <w:sz w:val="21"/>
          <w:szCs w:val="21"/>
        </w:rPr>
        <w:t xml:space="preserve">Assurance.</w:t>
      </w:r>
      <w:r>
        <w:rPr>
          <w:rFonts w:ascii="Georgia" w:cs="Georgia" w:eastAsia="Georgia" w:hAnsi="Georgia"/>
          <w:color w:val="1F2328"/>
          <w:sz w:val="21"/>
          <w:szCs w:val="21"/>
        </w:rPr>
        <w:t xml:space="preserve"> It provides municipal commissioners, external auditors, the Danish Patient Safety Authority (Styrelsen for Patientsikkerhed) and future accreditation bodies with a single map of how Premium Care governs itself.</w:t>
      </w:r>
    </w:p>
    <w:p>
      <w:pPr>
        <w:pStyle w:val="ListParagraph"/>
        <w:numPr>
          <w:ilvl w:val="0"/>
          <w:numId w:val="2"/>
        </w:numPr>
        <w:spacing w:after="90" w:line="264"/>
      </w:pPr>
      <w:r>
        <w:rPr>
          <w:rFonts w:ascii="Georgia" w:cs="Georgia" w:eastAsia="Georgia" w:hAnsi="Georgia"/>
          <w:b/>
          <w:bCs/>
          <w:color w:val="1F2328"/>
          <w:sz w:val="21"/>
          <w:szCs w:val="21"/>
        </w:rPr>
        <w:t xml:space="preserve">Scalability.</w:t>
      </w:r>
      <w:r>
        <w:rPr>
          <w:rFonts w:ascii="Georgia" w:cs="Georgia" w:eastAsia="Georgia" w:hAnsi="Georgia"/>
          <w:color w:val="1F2328"/>
          <w:sz w:val="21"/>
          <w:szCs w:val="21"/>
        </w:rPr>
        <w:t xml:space="preserve"> It is designed to carry the organisation from a small private provider to a multi-site national healthcare organisation without structural redesign.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Standing rule.</w:t>
            </w:r>
            <w:r>
              <w:rPr>
                <w:rFonts w:ascii="Georgia" w:cs="Georgia" w:eastAsia="Georgia" w:hAnsi="Georgia"/>
                <w:color w:val="1F2328"/>
                <w:sz w:val="20"/>
                <w:szCs w:val="20"/>
              </w:rPr>
              <w:t xml:space="preserve"> No document listed in the Master Document Register (Section 9) may be drafted, amended or issued except in accordance with this Specification. This Specification must itself be approved by the Board of Directors before Phase 2 production begins (Section 17).</w:t>
            </w:r>
          </w:p>
        </w:tc>
      </w:tr>
    </w:tbl>
    <w:p>
      <w:pPr>
        <w:spacing w:after="200"/>
      </w:pPr>
    </w:p>
    <w:p>
      <w:pPr>
        <w:pStyle w:val="Heading1"/>
        <w:pBdr>
          <w:bottom w:val="single" w:color="1E4B50" w:sz="6"/>
        </w:pBdr>
        <w:spacing w:after="200" w:before="420"/>
      </w:pPr>
      <w:r>
        <w:rPr>
          <w:rFonts w:ascii="Arial" w:cs="Arial" w:eastAsia="Arial" w:hAnsi="Arial"/>
          <w:b/>
          <w:bCs/>
          <w:color w:val="1E4B50"/>
          <w:sz w:val="30"/>
          <w:szCs w:val="30"/>
        </w:rPr>
        <w:t xml:space="preserve">2   </w:t>
      </w:r>
      <w:r>
        <w:rPr>
          <w:rFonts w:ascii="Arial" w:cs="Arial" w:eastAsia="Arial" w:hAnsi="Arial"/>
          <w:b/>
          <w:bCs/>
          <w:color w:val="1F2328"/>
          <w:sz w:val="30"/>
          <w:szCs w:val="30"/>
        </w:rPr>
        <w:t xml:space="preserve">Scope</w:t>
      </w:r>
    </w:p>
    <w:p>
      <w:pPr>
        <w:spacing w:after="160" w:line="276"/>
        <w:jc w:val="both"/>
      </w:pPr>
      <w:r>
        <w:rPr>
          <w:rFonts w:ascii="Georgia" w:cs="Georgia" w:eastAsia="Georgia" w:hAnsi="Georgia"/>
          <w:color w:val="1F2328"/>
          <w:sz w:val="21"/>
          <w:szCs w:val="21"/>
        </w:rPr>
        <w:t xml:space="preserve">This Specification applies to all governance documentation of Premium Care ApS across seven levels: Corporate Governance; Human Resources; Clinical Governance; Quality; Information Governance; Health and Safety; and Operations. It applies to every site, service line, employee, contractor and governance body of the company, and to any future subsidiary unless the Board resolves otherwise.</w:t>
      </w:r>
    </w:p>
    <w:p>
      <w:pPr>
        <w:spacing w:after="160" w:line="276"/>
        <w:jc w:val="both"/>
      </w:pPr>
      <w:r>
        <w:rPr>
          <w:rFonts w:ascii="Georgia" w:cs="Georgia" w:eastAsia="Georgia" w:hAnsi="Georgia"/>
          <w:color w:val="1F2328"/>
          <w:sz w:val="21"/>
          <w:szCs w:val="21"/>
        </w:rPr>
        <w:t xml:space="preserve">It governs documents, not conduct. The standards of conduct themselves are set out in the documents the library contains; this Specification determines how those documents are structured, related and controlled.</w:t>
      </w:r>
    </w:p>
    <w:p>
      <w:pPr>
        <w:spacing w:after="160" w:line="276"/>
        <w:jc w:val="both"/>
      </w:pPr>
      <w:r>
        <w:rPr>
          <w:rFonts w:ascii="Georgia" w:cs="Georgia" w:eastAsia="Georgia" w:hAnsi="Georgia"/>
          <w:b/>
          <w:bCs/>
          <w:color w:val="1F2328"/>
          <w:sz w:val="21"/>
          <w:szCs w:val="21"/>
        </w:rPr>
        <w:t xml:space="preserve">Exclusions.</w:t>
      </w:r>
      <w:r>
        <w:rPr>
          <w:rFonts w:ascii="Georgia" w:cs="Georgia" w:eastAsia="Georgia" w:hAnsi="Georgia"/>
          <w:color w:val="1F2328"/>
          <w:sz w:val="21"/>
          <w:szCs w:val="21"/>
        </w:rPr>
        <w:t xml:space="preserve"> Commercial contracts, municipal service agreements, individual employment contracts and marketing materials are outside the library, although governance documents may impose requirements on how such instruments are prepared and approved (see the Delegation of Authority Framework, PC-GOV-005).</w:t>
      </w:r>
    </w:p>
    <w:p>
      <w:pPr>
        <w:pStyle w:val="Heading1"/>
        <w:pBdr>
          <w:bottom w:val="single" w:color="1E4B50" w:sz="6"/>
        </w:pBdr>
        <w:spacing w:after="200" w:before="420"/>
      </w:pPr>
      <w:r>
        <w:rPr>
          <w:rFonts w:ascii="Arial" w:cs="Arial" w:eastAsia="Arial" w:hAnsi="Arial"/>
          <w:b/>
          <w:bCs/>
          <w:color w:val="1E4B50"/>
          <w:sz w:val="30"/>
          <w:szCs w:val="30"/>
        </w:rPr>
        <w:t xml:space="preserve">3   </w:t>
      </w:r>
      <w:r>
        <w:rPr>
          <w:rFonts w:ascii="Arial" w:cs="Arial" w:eastAsia="Arial" w:hAnsi="Arial"/>
          <w:b/>
          <w:bCs/>
          <w:color w:val="1F2328"/>
          <w:sz w:val="30"/>
          <w:szCs w:val="30"/>
        </w:rPr>
        <w:t xml:space="preserve">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Term</w:t>
            </w:r>
          </w:p>
        </w:tc>
        <w:tc>
          <w:tcPr>
            <w:tcW w:type="dxa" w:w="6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Meaning</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library</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complete, controlled set of documents listed in the Master Document Register (Section 9).</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document's position in the hierarchy of authority (Section 6). A lower-numbered tier prevails over a higher-numbered tier in any conflict.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Framework</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Tier 1 document establishing principles, structures and accountabilities for a governance domain.</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Tier 2 document consolidating the policies of a domain into a single authoritative reference.</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Policy</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mandatory statement of organisational position on a defined topic, contained within a manual or issued as a standalone Tier 2 document.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Procedure / SOP</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Tier 3 document prescribing how a task is performed, by whom, and to what standard.</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 / Record</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Tier 4 controlled template, checklist or register, and the completed records arising from its use.</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owner</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named role accountable for a document's accuracy, review and operational effectiveness.</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authority</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body or role whose approval brings a document, or a change to it, into effect.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Authoritative source</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single document in which a topic is governed. All other documents reference it and never restate it (Section 11).</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Controlled document</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document subject to the Document Control Process (Section 15): versioned, approved, distributed and reviewed under this Specification.</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(utilsigtet hændelse)</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patient-safety incident reportable to the Danish Patient Safety Database (DPSD) under the Danish Health Act.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AMO (arbejdsmiljøorganisation)</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statutory working environment organisation required under the Danish Working Environment Act once the workforce threshold is met.</w:t>
            </w:r>
          </w:p>
        </w:tc>
      </w:tr>
    </w:tbl>
    <w:p>
      <w:pPr>
        <w:spacing w:after="200"/>
      </w:pPr>
    </w:p>
    <w:p>
      <w:pPr>
        <w:pStyle w:val="Heading1"/>
        <w:pBdr>
          <w:bottom w:val="single" w:color="1E4B50" w:sz="6"/>
        </w:pBdr>
        <w:spacing w:after="200" w:before="420"/>
      </w:pPr>
      <w:r>
        <w:rPr>
          <w:rFonts w:ascii="Arial" w:cs="Arial" w:eastAsia="Arial" w:hAnsi="Arial"/>
          <w:b/>
          <w:bCs/>
          <w:color w:val="1E4B50"/>
          <w:sz w:val="30"/>
          <w:szCs w:val="30"/>
        </w:rPr>
        <w:t xml:space="preserve">4   </w:t>
      </w:r>
      <w:r>
        <w:rPr>
          <w:rFonts w:ascii="Arial" w:cs="Arial" w:eastAsia="Arial" w:hAnsi="Arial"/>
          <w:b/>
          <w:bCs/>
          <w:color w:val="1F2328"/>
          <w:sz w:val="30"/>
          <w:szCs w:val="30"/>
        </w:rPr>
        <w:t xml:space="preserve">Legal and Regulatory Framework</w:t>
      </w:r>
    </w:p>
    <w:p>
      <w:pPr>
        <w:spacing w:after="160" w:line="276"/>
        <w:jc w:val="both"/>
      </w:pPr>
      <w:r>
        <w:rPr>
          <w:rFonts w:ascii="Georgia" w:cs="Georgia" w:eastAsia="Georgia" w:hAnsi="Georgia"/>
          <w:color w:val="1F2328"/>
          <w:sz w:val="21"/>
          <w:szCs w:val="21"/>
        </w:rPr>
        <w:t xml:space="preserve">The library is designed against Danish law and Danish regulatory practice. English is the drafting language of the governance documentation; Danish legal concepts are retained and are never substituted with concepts from other jurisdictions. Where a Danish statutory term has no precise English equivalent, the Danish term is given in italics on first use in each document.</w:t>
      </w:r>
    </w:p>
    <w:p>
      <w:pPr>
        <w:spacing w:after="160" w:line="276"/>
        <w:jc w:val="both"/>
      </w:pPr>
      <w:r>
        <w:rPr>
          <w:rFonts w:ascii="Georgia" w:cs="Georgia" w:eastAsia="Georgia" w:hAnsi="Georgia"/>
          <w:color w:val="1F2328"/>
          <w:sz w:val="21"/>
          <w:szCs w:val="21"/>
        </w:rPr>
        <w:t xml:space="preserve">The principal instruments to which the library must remain aligned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Domain</w:t>
            </w:r>
          </w:p>
        </w:tc>
        <w:tc>
          <w:tcPr>
            <w:tcW w:type="dxa" w:w="5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Principal Danish instruments and requirements</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Companies Act (</w:t>
            </w:r>
            <w:r>
              <w:rPr>
                <w:rFonts w:ascii="Arial" w:cs="Arial" w:eastAsia="Arial" w:hAnsi="Arial"/>
                <w:b w:val="false"/>
                <w:bCs w:val="false"/>
                <w:i/>
                <w:iCs/>
                <w:color w:val="1F2328"/>
                <w:sz w:val="18"/>
                <w:szCs w:val="18"/>
              </w:rPr>
              <w:t xml:space="preserve">selskabsloven</w:t>
            </w:r>
            <w:r>
              <w:rPr>
                <w:rFonts w:ascii="Arial" w:cs="Arial" w:eastAsia="Arial" w:hAnsi="Arial"/>
                <w:b w:val="false"/>
                <w:bCs w:val="false"/>
                <w:color w:val="1F2328"/>
                <w:sz w:val="18"/>
                <w:szCs w:val="18"/>
              </w:rPr>
              <w:t xml:space="preserve">) — ApS governance, management duties, capital and resolutions; Danish Bookkeeping Act; Danish Financial Statements Act.</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Municipal home care</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Social Services Act (</w:t>
            </w:r>
            <w:r>
              <w:rPr>
                <w:rFonts w:ascii="Arial" w:cs="Arial" w:eastAsia="Arial" w:hAnsi="Arial"/>
                <w:b w:val="false"/>
                <w:bCs w:val="false"/>
                <w:i/>
                <w:iCs/>
                <w:color w:val="1F2328"/>
                <w:sz w:val="18"/>
                <w:szCs w:val="18"/>
              </w:rPr>
              <w:t xml:space="preserve">serviceloven</w:t>
            </w:r>
            <w:r>
              <w:rPr>
                <w:rFonts w:ascii="Arial" w:cs="Arial" w:eastAsia="Arial" w:hAnsi="Arial"/>
                <w:b w:val="false"/>
                <w:bCs w:val="false"/>
                <w:color w:val="1F2328"/>
                <w:sz w:val="18"/>
                <w:szCs w:val="18"/>
              </w:rPr>
              <w:t xml:space="preserve">), in particular §83 personal and practical help, §83a rehabilitation and §91 free choice of provider (</w:t>
            </w:r>
            <w:r>
              <w:rPr>
                <w:rFonts w:ascii="Arial" w:cs="Arial" w:eastAsia="Arial" w:hAnsi="Arial"/>
                <w:b w:val="false"/>
                <w:bCs w:val="false"/>
                <w:i/>
                <w:iCs/>
                <w:color w:val="1F2328"/>
                <w:sz w:val="18"/>
                <w:szCs w:val="18"/>
              </w:rPr>
              <w:t xml:space="preserve">frit valg</w:t>
            </w:r>
            <w:r>
              <w:rPr>
                <w:rFonts w:ascii="Arial" w:cs="Arial" w:eastAsia="Arial" w:hAnsi="Arial"/>
                <w:b w:val="false"/>
                <w:bCs w:val="false"/>
                <w:color w:val="1F2328"/>
                <w:sz w:val="18"/>
                <w:szCs w:val="18"/>
              </w:rPr>
              <w:t xml:space="preserve">); municipal quality standards (</w:t>
            </w:r>
            <w:r>
              <w:rPr>
                <w:rFonts w:ascii="Arial" w:cs="Arial" w:eastAsia="Arial" w:hAnsi="Arial"/>
                <w:b w:val="false"/>
                <w:bCs w:val="false"/>
                <w:i/>
                <w:iCs/>
                <w:color w:val="1F2328"/>
                <w:sz w:val="18"/>
                <w:szCs w:val="18"/>
              </w:rPr>
              <w:t xml:space="preserve">kvalitetsstandarder</w:t>
            </w:r>
            <w:r>
              <w:rPr>
                <w:rFonts w:ascii="Arial" w:cs="Arial" w:eastAsia="Arial" w:hAnsi="Arial"/>
                <w:b w:val="false"/>
                <w:bCs w:val="false"/>
                <w:color w:val="1F2328"/>
                <w:sz w:val="18"/>
                <w:szCs w:val="18"/>
              </w:rPr>
              <w:t xml:space="preserve">) and contractual supervision by contracting municipalities.</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services</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Health Act (</w:t>
            </w:r>
            <w:r>
              <w:rPr>
                <w:rFonts w:ascii="Arial" w:cs="Arial" w:eastAsia="Arial" w:hAnsi="Arial"/>
                <w:b w:val="false"/>
                <w:bCs w:val="false"/>
                <w:i/>
                <w:iCs/>
                <w:color w:val="1F2328"/>
                <w:sz w:val="18"/>
                <w:szCs w:val="18"/>
              </w:rPr>
              <w:t xml:space="preserve">sundhedsloven</w:t>
            </w:r>
            <w:r>
              <w:rPr>
                <w:rFonts w:ascii="Arial" w:cs="Arial" w:eastAsia="Arial" w:hAnsi="Arial"/>
                <w:b w:val="false"/>
                <w:bCs w:val="false"/>
                <w:color w:val="1F2328"/>
                <w:sz w:val="18"/>
                <w:szCs w:val="18"/>
              </w:rPr>
              <w:t xml:space="preserve">), including home nursing under §138, patient-safety incident reporting to DPSD, and registration of treatment sites (</w:t>
            </w:r>
            <w:r>
              <w:rPr>
                <w:rFonts w:ascii="Arial" w:cs="Arial" w:eastAsia="Arial" w:hAnsi="Arial"/>
                <w:b w:val="false"/>
                <w:bCs w:val="false"/>
                <w:i/>
                <w:iCs/>
                <w:color w:val="1F2328"/>
                <w:sz w:val="18"/>
                <w:szCs w:val="18"/>
              </w:rPr>
              <w:t xml:space="preserve">behandlingssteder</w:t>
            </w:r>
            <w:r>
              <w:rPr>
                <w:rFonts w:ascii="Arial" w:cs="Arial" w:eastAsia="Arial" w:hAnsi="Arial"/>
                <w:b w:val="false"/>
                <w:bCs w:val="false"/>
                <w:color w:val="1F2328"/>
                <w:sz w:val="18"/>
                <w:szCs w:val="18"/>
              </w:rPr>
              <w:t xml:space="preserve">) with Styrelsen for Patientsikkerhed; risk-based supervisory inspections (</w:t>
            </w:r>
            <w:r>
              <w:rPr>
                <w:rFonts w:ascii="Arial" w:cs="Arial" w:eastAsia="Arial" w:hAnsi="Arial"/>
                <w:b w:val="false"/>
                <w:bCs w:val="false"/>
                <w:i/>
                <w:iCs/>
                <w:color w:val="1F2328"/>
                <w:sz w:val="18"/>
                <w:szCs w:val="18"/>
              </w:rPr>
              <w:t xml:space="preserve">tilsyn</w:t>
            </w:r>
            <w:r>
              <w:rPr>
                <w:rFonts w:ascii="Arial" w:cs="Arial" w:eastAsia="Arial" w:hAnsi="Arial"/>
                <w:b w:val="false"/>
                <w:bCs w:val="false"/>
                <w:color w:val="1F2328"/>
                <w:sz w:val="18"/>
                <w:szCs w:val="18"/>
              </w:rPr>
              <w:t xml:space="preserve">).</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professions</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Authorisation Act (</w:t>
            </w:r>
            <w:r>
              <w:rPr>
                <w:rFonts w:ascii="Arial" w:cs="Arial" w:eastAsia="Arial" w:hAnsi="Arial"/>
                <w:b w:val="false"/>
                <w:bCs w:val="false"/>
                <w:i/>
                <w:iCs/>
                <w:color w:val="1F2328"/>
                <w:sz w:val="18"/>
                <w:szCs w:val="18"/>
              </w:rPr>
              <w:t xml:space="preserve">autorisationsloven</w:t>
            </w:r>
            <w:r>
              <w:rPr>
                <w:rFonts w:ascii="Arial" w:cs="Arial" w:eastAsia="Arial" w:hAnsi="Arial"/>
                <w:b w:val="false"/>
                <w:bCs w:val="false"/>
                <w:color w:val="1F2328"/>
                <w:sz w:val="18"/>
                <w:szCs w:val="18"/>
              </w:rPr>
              <w:t xml:space="preserve">); the Delegation Order (</w:t>
            </w:r>
            <w:r>
              <w:rPr>
                <w:rFonts w:ascii="Arial" w:cs="Arial" w:eastAsia="Arial" w:hAnsi="Arial"/>
                <w:b w:val="false"/>
                <w:bCs w:val="false"/>
                <w:i/>
                <w:iCs/>
                <w:color w:val="1F2328"/>
                <w:sz w:val="18"/>
                <w:szCs w:val="18"/>
              </w:rPr>
              <w:t xml:space="preserve">bekendtgørelse om autoriserede sundhedspersoners benyttelse af medhjælp</w:t>
            </w:r>
            <w:r>
              <w:rPr>
                <w:rFonts w:ascii="Arial" w:cs="Arial" w:eastAsia="Arial" w:hAnsi="Arial"/>
                <w:b w:val="false"/>
                <w:bCs w:val="false"/>
                <w:color w:val="1F2328"/>
                <w:sz w:val="18"/>
                <w:szCs w:val="18"/>
              </w:rPr>
              <w:t xml:space="preserve">) governing delegated healthcare tasks; the Record-Keeping Order (</w:t>
            </w:r>
            <w:r>
              <w:rPr>
                <w:rFonts w:ascii="Arial" w:cs="Arial" w:eastAsia="Arial" w:hAnsi="Arial"/>
                <w:b w:val="false"/>
                <w:bCs w:val="false"/>
                <w:i/>
                <w:iCs/>
                <w:color w:val="1F2328"/>
                <w:sz w:val="18"/>
                <w:szCs w:val="18"/>
              </w:rPr>
              <w:t xml:space="preserve">journalføringsbekendtgørelsen</w:t>
            </w:r>
            <w:r>
              <w:rPr>
                <w:rFonts w:ascii="Arial" w:cs="Arial" w:eastAsia="Arial" w:hAnsi="Arial"/>
                <w:b w:val="false"/>
                <w:bCs w:val="false"/>
                <w:color w:val="1F2328"/>
                <w:sz w:val="18"/>
                <w:szCs w:val="18"/>
              </w:rPr>
              <w:t xml:space="preserve">).</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Employment</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Employment Terms Act (implementing the EU Transparent and Predictable Working Conditions Directive); Salaried Employees Act (</w:t>
            </w:r>
            <w:r>
              <w:rPr>
                <w:rFonts w:ascii="Arial" w:cs="Arial" w:eastAsia="Arial" w:hAnsi="Arial"/>
                <w:b w:val="false"/>
                <w:bCs w:val="false"/>
                <w:i/>
                <w:iCs/>
                <w:color w:val="1F2328"/>
                <w:sz w:val="18"/>
                <w:szCs w:val="18"/>
              </w:rPr>
              <w:t xml:space="preserve">funktionærloven</w:t>
            </w:r>
            <w:r>
              <w:rPr>
                <w:rFonts w:ascii="Arial" w:cs="Arial" w:eastAsia="Arial" w:hAnsi="Arial"/>
                <w:b w:val="false"/>
                <w:bCs w:val="false"/>
                <w:color w:val="1F2328"/>
                <w:sz w:val="18"/>
                <w:szCs w:val="18"/>
              </w:rPr>
              <w:t xml:space="preserve">); Holiday Act (</w:t>
            </w:r>
            <w:r>
              <w:rPr>
                <w:rFonts w:ascii="Arial" w:cs="Arial" w:eastAsia="Arial" w:hAnsi="Arial"/>
                <w:b w:val="false"/>
                <w:bCs w:val="false"/>
                <w:i/>
                <w:iCs/>
                <w:color w:val="1F2328"/>
                <w:sz w:val="18"/>
                <w:szCs w:val="18"/>
              </w:rPr>
              <w:t xml:space="preserve">ferieloven</w:t>
            </w:r>
            <w:r>
              <w:rPr>
                <w:rFonts w:ascii="Arial" w:cs="Arial" w:eastAsia="Arial" w:hAnsi="Arial"/>
                <w:b w:val="false"/>
                <w:bCs w:val="false"/>
                <w:color w:val="1F2328"/>
                <w:sz w:val="18"/>
                <w:szCs w:val="18"/>
              </w:rPr>
              <w:t xml:space="preserve">); Working Time rules; Equal Treatment and Anti-Discrimination Acts; any applicable collective agreements (</w:t>
            </w:r>
            <w:r>
              <w:rPr>
                <w:rFonts w:ascii="Arial" w:cs="Arial" w:eastAsia="Arial" w:hAnsi="Arial"/>
                <w:b w:val="false"/>
                <w:bCs w:val="false"/>
                <w:i/>
                <w:iCs/>
                <w:color w:val="1F2328"/>
                <w:sz w:val="18"/>
                <w:szCs w:val="18"/>
              </w:rPr>
              <w:t xml:space="preserve">overenskomster</w:t>
            </w:r>
            <w:r>
              <w:rPr>
                <w:rFonts w:ascii="Arial" w:cs="Arial" w:eastAsia="Arial" w:hAnsi="Arial"/>
                <w:b w:val="false"/>
                <w:bCs w:val="false"/>
                <w:color w:val="1F2328"/>
                <w:sz w:val="18"/>
                <w:szCs w:val="18"/>
              </w:rPr>
              <w:t xml:space="preserve">, e.g. with FOA or DSR).</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Working environment</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Working Environment Act (</w:t>
            </w:r>
            <w:r>
              <w:rPr>
                <w:rFonts w:ascii="Arial" w:cs="Arial" w:eastAsia="Arial" w:hAnsi="Arial"/>
                <w:b w:val="false"/>
                <w:bCs w:val="false"/>
                <w:i/>
                <w:iCs/>
                <w:color w:val="1F2328"/>
                <w:sz w:val="18"/>
                <w:szCs w:val="18"/>
              </w:rPr>
              <w:t xml:space="preserve">arbejdsmiljøloven</w:t>
            </w:r>
            <w:r>
              <w:rPr>
                <w:rFonts w:ascii="Arial" w:cs="Arial" w:eastAsia="Arial" w:hAnsi="Arial"/>
                <w:b w:val="false"/>
                <w:bCs w:val="false"/>
                <w:color w:val="1F2328"/>
                <w:sz w:val="18"/>
                <w:szCs w:val="18"/>
              </w:rPr>
              <w:t xml:space="preserve">) and executive orders; workplace risk assessment (</w:t>
            </w:r>
            <w:r>
              <w:rPr>
                <w:rFonts w:ascii="Arial" w:cs="Arial" w:eastAsia="Arial" w:hAnsi="Arial"/>
                <w:b w:val="false"/>
                <w:bCs w:val="false"/>
                <w:i/>
                <w:iCs/>
                <w:color w:val="1F2328"/>
                <w:sz w:val="18"/>
                <w:szCs w:val="18"/>
              </w:rPr>
              <w:t xml:space="preserve">APV</w:t>
            </w:r>
            <w:r>
              <w:rPr>
                <w:rFonts w:ascii="Arial" w:cs="Arial" w:eastAsia="Arial" w:hAnsi="Arial"/>
                <w:b w:val="false"/>
                <w:bCs w:val="false"/>
                <w:color w:val="1F2328"/>
                <w:sz w:val="18"/>
                <w:szCs w:val="18"/>
              </w:rPr>
              <w:t xml:space="preserve">); AMO requirements; Danish Working Environment Authority (</w:t>
            </w:r>
            <w:r>
              <w:rPr>
                <w:rFonts w:ascii="Arial" w:cs="Arial" w:eastAsia="Arial" w:hAnsi="Arial"/>
                <w:b w:val="false"/>
                <w:bCs w:val="false"/>
                <w:i/>
                <w:iCs/>
                <w:color w:val="1F2328"/>
                <w:sz w:val="18"/>
                <w:szCs w:val="18"/>
              </w:rPr>
              <w:t xml:space="preserve">Arbejdstilsynet</w:t>
            </w:r>
            <w:r>
              <w:rPr>
                <w:rFonts w:ascii="Arial" w:cs="Arial" w:eastAsia="Arial" w:hAnsi="Arial"/>
                <w:b w:val="false"/>
                <w:bCs w:val="false"/>
                <w:color w:val="1F2328"/>
                <w:sz w:val="18"/>
                <w:szCs w:val="18"/>
              </w:rPr>
              <w:t xml:space="preserve">) supervision.</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protection</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and the Danish Data Protection Act (</w:t>
            </w:r>
            <w:r>
              <w:rPr>
                <w:rFonts w:ascii="Arial" w:cs="Arial" w:eastAsia="Arial" w:hAnsi="Arial"/>
                <w:b w:val="false"/>
                <w:bCs w:val="false"/>
                <w:i/>
                <w:iCs/>
                <w:color w:val="1F2328"/>
                <w:sz w:val="18"/>
                <w:szCs w:val="18"/>
              </w:rPr>
              <w:t xml:space="preserve">databeskyttelsesloven</w:t>
            </w:r>
            <w:r>
              <w:rPr>
                <w:rFonts w:ascii="Arial" w:cs="Arial" w:eastAsia="Arial" w:hAnsi="Arial"/>
                <w:b w:val="false"/>
                <w:bCs w:val="false"/>
                <w:color w:val="1F2328"/>
                <w:sz w:val="18"/>
                <w:szCs w:val="18"/>
              </w:rPr>
              <w:t xml:space="preserve">); Danish Data Protection Agency (</w:t>
            </w:r>
            <w:r>
              <w:rPr>
                <w:rFonts w:ascii="Arial" w:cs="Arial" w:eastAsia="Arial" w:hAnsi="Arial"/>
                <w:b w:val="false"/>
                <w:bCs w:val="false"/>
                <w:i/>
                <w:iCs/>
                <w:color w:val="1F2328"/>
                <w:sz w:val="18"/>
                <w:szCs w:val="18"/>
              </w:rPr>
              <w:t xml:space="preserve">Datatilsynet</w:t>
            </w:r>
            <w:r>
              <w:rPr>
                <w:rFonts w:ascii="Arial" w:cs="Arial" w:eastAsia="Arial" w:hAnsi="Arial"/>
                <w:b w:val="false"/>
                <w:bCs w:val="false"/>
                <w:color w:val="1F2328"/>
                <w:sz w:val="18"/>
                <w:szCs w:val="18"/>
              </w:rPr>
              <w:t xml:space="preserve">) guidance; health-data rules under the Health Act.</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and accreditation</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Municipal audit and procurement requirements; the Danish Healthcare Quality Programme (DDKM, administered by IKAS) as a target accreditation model; ISO 9001 and ISO/IEC 27001 as target certification models.</w:t>
            </w:r>
          </w:p>
        </w:tc>
      </w:tr>
    </w:tbl>
    <w:p>
      <w:pPr>
        <w:spacing w:after="80"/>
      </w:pPr>
    </w:p>
    <w:p>
      <w:pPr>
        <w:spacing w:after="160" w:line="276"/>
        <w:jc w:val="both"/>
      </w:pPr>
      <w:r>
        <w:rPr>
          <w:rFonts w:ascii="Georgia" w:cs="Georgia" w:eastAsia="Georgia" w:hAnsi="Georgia"/>
          <w:color w:val="1F2328"/>
          <w:sz w:val="21"/>
          <w:szCs w:val="21"/>
        </w:rPr>
        <w:t xml:space="preserve">Each manual carries its own Legal and Regulatory Framework section listing the instruments specific to its domain, current as at that manual's issue date. This Specification lists the landscape; the manuals carry the detail. Statutory references are verified at every scheduled review.</w:t>
      </w:r>
    </w:p>
    <w:p>
      <w:pPr>
        <w:pStyle w:val="Heading1"/>
        <w:pBdr>
          <w:bottom w:val="single" w:color="1E4B50" w:sz="6"/>
        </w:pBdr>
        <w:spacing w:after="200" w:before="420"/>
      </w:pPr>
      <w:r>
        <w:rPr>
          <w:rFonts w:ascii="Arial" w:cs="Arial" w:eastAsia="Arial" w:hAnsi="Arial"/>
          <w:b/>
          <w:bCs/>
          <w:color w:val="1E4B50"/>
          <w:sz w:val="30"/>
          <w:szCs w:val="30"/>
        </w:rPr>
        <w:t xml:space="preserve">5   </w:t>
      </w:r>
      <w:r>
        <w:rPr>
          <w:rFonts w:ascii="Arial" w:cs="Arial" w:eastAsia="Arial" w:hAnsi="Arial"/>
          <w:b/>
          <w:bCs/>
          <w:color w:val="1F2328"/>
          <w:sz w:val="30"/>
          <w:szCs w:val="30"/>
        </w:rPr>
        <w:t xml:space="preserve">Governance Philosophy and Design Principles</w:t>
      </w:r>
    </w:p>
    <w:p>
      <w:pPr>
        <w:spacing w:after="160" w:line="276"/>
        <w:jc w:val="both"/>
      </w:pPr>
      <w:r>
        <w:rPr>
          <w:rFonts w:ascii="Georgia" w:cs="Georgia" w:eastAsia="Georgia" w:hAnsi="Georgia"/>
          <w:color w:val="1F2328"/>
          <w:sz w:val="21"/>
          <w:szCs w:val="21"/>
        </w:rPr>
        <w:t xml:space="preserve">Premium Care's governance documentation embodies the values of the organisation: professional excellence, compassion, integrity, accountability, patient safety, clinical excellence, transparency, continuous improvement, a learning culture and ethical leadership. These are not decorative commitments; they are design constraints. A document that cannot be traced to at least one of these values, or that obstructs them in practice, does not belong in the library.</w:t>
      </w:r>
    </w:p>
    <w:p>
      <w:pPr>
        <w:pStyle w:val="Heading2"/>
        <w:spacing w:after="140" w:before="300"/>
      </w:pPr>
      <w:r>
        <w:rPr>
          <w:rFonts w:ascii="Arial" w:cs="Arial" w:eastAsia="Arial" w:hAnsi="Arial"/>
          <w:b/>
          <w:bCs/>
          <w:color w:val="1E4B50"/>
          <w:sz w:val="24"/>
          <w:szCs w:val="24"/>
        </w:rPr>
        <w:t xml:space="preserve">5.1   </w:t>
      </w:r>
      <w:r>
        <w:rPr>
          <w:rFonts w:ascii="Arial" w:cs="Arial" w:eastAsia="Arial" w:hAnsi="Arial"/>
          <w:b/>
          <w:bCs/>
          <w:color w:val="1F2328"/>
          <w:sz w:val="24"/>
          <w:szCs w:val="24"/>
        </w:rPr>
        <w:t xml:space="preserve">Design principles</w:t>
      </w:r>
    </w:p>
    <w:p>
      <w:pPr>
        <w:pStyle w:val="ListParagraph"/>
        <w:numPr>
          <w:ilvl w:val="0"/>
          <w:numId w:val="2"/>
        </w:numPr>
        <w:spacing w:after="90" w:line="264"/>
      </w:pPr>
      <w:r>
        <w:rPr>
          <w:rFonts w:ascii="Georgia" w:cs="Georgia" w:eastAsia="Georgia" w:hAnsi="Georgia"/>
          <w:b/>
          <w:bCs/>
          <w:color w:val="1F2328"/>
          <w:sz w:val="21"/>
          <w:szCs w:val="21"/>
        </w:rPr>
        <w:t xml:space="preserve">One ecosystem.</w:t>
      </w:r>
      <w:r>
        <w:rPr>
          <w:rFonts w:ascii="Georgia" w:cs="Georgia" w:eastAsia="Georgia" w:hAnsi="Georgia"/>
          <w:color w:val="1F2328"/>
          <w:sz w:val="21"/>
          <w:szCs w:val="21"/>
        </w:rPr>
        <w:t xml:space="preserve"> Every manual references other manuals where appropriate. Duplication is treated as a defect and removed at review.</w:t>
      </w:r>
    </w:p>
    <w:p>
      <w:pPr>
        <w:pStyle w:val="ListParagraph"/>
        <w:numPr>
          <w:ilvl w:val="0"/>
          <w:numId w:val="2"/>
        </w:numPr>
        <w:spacing w:after="90" w:line="264"/>
      </w:pPr>
      <w:r>
        <w:rPr>
          <w:rFonts w:ascii="Georgia" w:cs="Georgia" w:eastAsia="Georgia" w:hAnsi="Georgia"/>
          <w:b/>
          <w:bCs/>
          <w:color w:val="1F2328"/>
          <w:sz w:val="21"/>
          <w:szCs w:val="21"/>
        </w:rPr>
        <w:t xml:space="preserve">Single source of truth.</w:t>
      </w:r>
      <w:r>
        <w:rPr>
          <w:rFonts w:ascii="Georgia" w:cs="Georgia" w:eastAsia="Georgia" w:hAnsi="Georgia"/>
          <w:color w:val="1F2328"/>
          <w:sz w:val="21"/>
          <w:szCs w:val="21"/>
        </w:rPr>
        <w:t xml:space="preserve"> Every topic has exactly one authoritative document (Section 11). Where another document governs a topic, it is referenced, never repeated.</w:t>
      </w:r>
    </w:p>
    <w:p>
      <w:pPr>
        <w:pStyle w:val="ListParagraph"/>
        <w:numPr>
          <w:ilvl w:val="0"/>
          <w:numId w:val="2"/>
        </w:numPr>
        <w:spacing w:after="90" w:line="264"/>
      </w:pPr>
      <w:r>
        <w:rPr>
          <w:rFonts w:ascii="Georgia" w:cs="Georgia" w:eastAsia="Georgia" w:hAnsi="Georgia"/>
          <w:b/>
          <w:bCs/>
          <w:color w:val="1F2328"/>
          <w:sz w:val="21"/>
          <w:szCs w:val="21"/>
        </w:rPr>
        <w:t xml:space="preserve">Proportionate and scalable.</w:t>
      </w:r>
      <w:r>
        <w:rPr>
          <w:rFonts w:ascii="Georgia" w:cs="Georgia" w:eastAsia="Georgia" w:hAnsi="Georgia"/>
          <w:color w:val="1F2328"/>
          <w:sz w:val="21"/>
          <w:szCs w:val="21"/>
        </w:rPr>
        <w:t xml:space="preserve"> The architecture must serve a small provider today and a national, multi-site organisation later. Committee structures activate by threshold (Section 14) rather than being redesigned.</w:t>
      </w:r>
    </w:p>
    <w:p>
      <w:pPr>
        <w:pStyle w:val="ListParagraph"/>
        <w:numPr>
          <w:ilvl w:val="0"/>
          <w:numId w:val="2"/>
        </w:numPr>
        <w:spacing w:after="90" w:line="264"/>
      </w:pPr>
      <w:r>
        <w:rPr>
          <w:rFonts w:ascii="Georgia" w:cs="Georgia" w:eastAsia="Georgia" w:hAnsi="Georgia"/>
          <w:b/>
          <w:bCs/>
          <w:color w:val="1F2328"/>
          <w:sz w:val="21"/>
          <w:szCs w:val="21"/>
        </w:rPr>
        <w:t xml:space="preserve">Audit-ready by construction.</w:t>
      </w:r>
      <w:r>
        <w:rPr>
          <w:rFonts w:ascii="Georgia" w:cs="Georgia" w:eastAsia="Georgia" w:hAnsi="Georgia"/>
          <w:color w:val="1F2328"/>
          <w:sz w:val="21"/>
          <w:szCs w:val="21"/>
        </w:rPr>
        <w:t xml:space="preserve"> Every document carries the standard structure in Section 15.4, so that municipal procurement teams, internal and external auditors, accreditation surveyors and regulatory inspectors can navigate the library without guidance.</w:t>
      </w:r>
    </w:p>
    <w:p>
      <w:pPr>
        <w:pStyle w:val="ListParagraph"/>
        <w:numPr>
          <w:ilvl w:val="0"/>
          <w:numId w:val="2"/>
        </w:numPr>
        <w:spacing w:after="90" w:line="264"/>
      </w:pPr>
      <w:r>
        <w:rPr>
          <w:rFonts w:ascii="Georgia" w:cs="Georgia" w:eastAsia="Georgia" w:hAnsi="Georgia"/>
          <w:b/>
          <w:bCs/>
          <w:color w:val="1F2328"/>
          <w:sz w:val="21"/>
          <w:szCs w:val="21"/>
        </w:rPr>
        <w:t xml:space="preserve">The human decision is protected.</w:t>
      </w:r>
      <w:r>
        <w:rPr>
          <w:rFonts w:ascii="Georgia" w:cs="Georgia" w:eastAsia="Georgia" w:hAnsi="Georgia"/>
          <w:color w:val="1F2328"/>
          <w:sz w:val="21"/>
          <w:szCs w:val="21"/>
        </w:rPr>
        <w:t xml:space="preserve"> Clinical judgements, safeguarding decisions and delegation of healthcare tasks always rest with accountable, qualified people. No procedure, form or system may automate them away.</w:t>
      </w:r>
    </w:p>
    <w:p>
      <w:pPr>
        <w:pStyle w:val="ListParagraph"/>
        <w:numPr>
          <w:ilvl w:val="0"/>
          <w:numId w:val="2"/>
        </w:numPr>
        <w:spacing w:after="90" w:line="264"/>
      </w:pPr>
      <w:r>
        <w:rPr>
          <w:rFonts w:ascii="Georgia" w:cs="Georgia" w:eastAsia="Georgia" w:hAnsi="Georgia"/>
          <w:b/>
          <w:bCs/>
          <w:color w:val="1F2328"/>
          <w:sz w:val="21"/>
          <w:szCs w:val="21"/>
        </w:rPr>
        <w:t xml:space="preserve">Plain, executive-level British English.</w:t>
      </w:r>
      <w:r>
        <w:rPr>
          <w:rFonts w:ascii="Georgia" w:cs="Georgia" w:eastAsia="Georgia" w:hAnsi="Georgia"/>
          <w:color w:val="1F2328"/>
          <w:sz w:val="21"/>
          <w:szCs w:val="21"/>
        </w:rPr>
        <w:t xml:space="preserve"> Clear policy drafting, consistent terminology, professional healthcare vocabulary, no filler and no marketing language.</w:t>
      </w:r>
    </w:p>
    <w:p>
      <w:pPr>
        <w:pStyle w:val="Heading1"/>
        <w:pBdr>
          <w:bottom w:val="single" w:color="1E4B50" w:sz="6"/>
        </w:pBdr>
        <w:spacing w:after="200" w:before="420"/>
      </w:pPr>
      <w:r>
        <w:rPr>
          <w:rFonts w:ascii="Arial" w:cs="Arial" w:eastAsia="Arial" w:hAnsi="Arial"/>
          <w:b/>
          <w:bCs/>
          <w:color w:val="1E4B50"/>
          <w:sz w:val="30"/>
          <w:szCs w:val="30"/>
        </w:rPr>
        <w:t xml:space="preserve">6   </w:t>
      </w:r>
      <w:r>
        <w:rPr>
          <w:rFonts w:ascii="Arial" w:cs="Arial" w:eastAsia="Arial" w:hAnsi="Arial"/>
          <w:b/>
          <w:bCs/>
          <w:color w:val="1F2328"/>
          <w:sz w:val="30"/>
          <w:szCs w:val="30"/>
        </w:rPr>
        <w:t xml:space="preserve">Document Hierarchy</w:t>
      </w:r>
    </w:p>
    <w:p>
      <w:pPr>
        <w:spacing w:after="160" w:line="276"/>
        <w:jc w:val="both"/>
      </w:pPr>
      <w:r>
        <w:rPr>
          <w:rFonts w:ascii="Georgia" w:cs="Georgia" w:eastAsia="Georgia" w:hAnsi="Georgia"/>
          <w:color w:val="1F2328"/>
          <w:sz w:val="21"/>
          <w:szCs w:val="21"/>
        </w:rPr>
        <w:t xml:space="preserve">The library operates on a five-tier hierarchy of authority. In any conflict between documents, the lower-numbered tier prevails; conflicts are reported to the Quality and Compliance Manager as document-control incidents and corrected at the next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4826"/>
      </w:tblGrid>
      <w:tr>
        <w:trPr>
          <w:cantSplit/>
          <w:tblHeader/>
        </w:trPr>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2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Class</w:t>
            </w:r>
          </w:p>
        </w:tc>
        <w:tc>
          <w:tcPr>
            <w:tcW w:type="dxa" w:w="48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Nature and authority</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0</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Architecture</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This Specification (PC-GOV-000). Controls the existence, structure and control of every other document.</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1</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Charters and frameworks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Establish principles, structures and accountabilities: the Corporate Governance Manual and Framework, Board Charter, committee terms of reference, Delegation of Authority, and the risk, internal control and compliance frameworks.</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2</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Manuals and policies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authoritative operational policy layer: domain manuals (HR, clinical, quality, information governance, health and safety) and standalone policies.</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3</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Procedures and SOPs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Prescribe how work is performed. Every SOP is subordinate to, and traceable to, a named Tier 2 manual.</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4</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Forms, templates, checklists, registers and records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controlled instruments through which procedures are executed and evidenced.</w:t>
            </w:r>
          </w:p>
        </w:tc>
      </w:tr>
    </w:tbl>
    <w:p>
      <w:pPr>
        <w:spacing w:after="80"/>
      </w:pPr>
    </w:p>
    <w:p>
      <w:pPr>
        <w:spacing w:after="160" w:line="276"/>
        <w:jc w:val="both"/>
      </w:pPr>
      <w:r>
        <w:rPr>
          <w:rFonts w:ascii="Georgia" w:cs="Georgia" w:eastAsia="Georgia" w:hAnsi="Georgia"/>
          <w:color w:val="1F2328"/>
          <w:sz w:val="21"/>
          <w:szCs w:val="21"/>
        </w:rPr>
        <w:t xml:space="preserve">Employee-facing handbooks (the Employee Handbook, Manager Handbook and Leadership Handbook) sit at Tier 2 as </w:t>
      </w:r>
      <w:r>
        <w:rPr>
          <w:rFonts w:ascii="Georgia" w:cs="Georgia" w:eastAsia="Georgia" w:hAnsi="Georgia"/>
          <w:b/>
          <w:bCs/>
          <w:color w:val="1F2328"/>
          <w:sz w:val="21"/>
          <w:szCs w:val="21"/>
        </w:rPr>
        <w:t xml:space="preserve">communication documents</w:t>
      </w:r>
      <w:r>
        <w:rPr>
          <w:rFonts w:ascii="Georgia" w:cs="Georgia" w:eastAsia="Georgia" w:hAnsi="Georgia"/>
          <w:color w:val="1F2328"/>
          <w:sz w:val="21"/>
          <w:szCs w:val="21"/>
        </w:rPr>
        <w:t xml:space="preserve">: they summarise and signpost authoritative policy in accessible language but never constitute the authoritative source (see Sections 11 and 16).</w:t>
      </w:r>
    </w:p>
    <w:p>
      <w:pPr>
        <w:pStyle w:val="Heading1"/>
        <w:pBdr>
          <w:bottom w:val="single" w:color="1E4B50" w:sz="6"/>
        </w:pBdr>
        <w:spacing w:after="200" w:before="420"/>
      </w:pPr>
      <w:r>
        <w:rPr>
          <w:rFonts w:ascii="Arial" w:cs="Arial" w:eastAsia="Arial" w:hAnsi="Arial"/>
          <w:b/>
          <w:bCs/>
          <w:color w:val="1E4B50"/>
          <w:sz w:val="30"/>
          <w:szCs w:val="30"/>
        </w:rPr>
        <w:t xml:space="preserve">7   </w:t>
      </w:r>
      <w:r>
        <w:rPr>
          <w:rFonts w:ascii="Arial" w:cs="Arial" w:eastAsia="Arial" w:hAnsi="Arial"/>
          <w:b/>
          <w:bCs/>
          <w:color w:val="1F2328"/>
          <w:sz w:val="30"/>
          <w:szCs w:val="30"/>
        </w:rPr>
        <w:t xml:space="preserve">Document Numbering Convention</w:t>
      </w:r>
    </w:p>
    <w:p>
      <w:pPr>
        <w:spacing w:after="160" w:line="276"/>
        <w:jc w:val="both"/>
      </w:pPr>
      <w:r>
        <w:rPr>
          <w:rFonts w:ascii="Georgia" w:cs="Georgia" w:eastAsia="Georgia" w:hAnsi="Georgia"/>
          <w:color w:val="1F2328"/>
          <w:sz w:val="21"/>
          <w:szCs w:val="21"/>
        </w:rPr>
        <w:t xml:space="preserve">Every controlled document carries a permanent identifier in the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100" w:line="264"/>
            </w:pPr>
            <w:r>
              <w:rPr>
                <w:rFonts w:ascii="Georgia" w:cs="Georgia" w:eastAsia="Georgia" w:hAnsi="Georgia"/>
                <w:b/>
                <w:bCs/>
                <w:color w:val="1F2328"/>
                <w:sz w:val="20"/>
                <w:szCs w:val="20"/>
              </w:rPr>
              <w:t xml:space="preserve">PC-[DOMAIN]-[NNN]</w:t>
            </w:r>
            <w:r>
              <w:rPr>
                <w:rFonts w:ascii="Georgia" w:cs="Georgia" w:eastAsia="Georgia" w:hAnsi="Georgia"/>
                <w:color w:val="1F2328"/>
                <w:sz w:val="20"/>
                <w:szCs w:val="20"/>
              </w:rPr>
              <w:t xml:space="preserve">  —  e.g. PC-CLIN-003 v2.1</w:t>
            </w:r>
          </w:p>
          <w:p>
            <w:pPr>
              <w:spacing w:after="0" w:line="264"/>
            </w:pPr>
            <w:r>
              <w:rPr>
                <w:rFonts w:ascii="Georgia" w:cs="Georgia" w:eastAsia="Georgia" w:hAnsi="Georgia"/>
                <w:color w:val="1F2328"/>
                <w:sz w:val="20"/>
                <w:szCs w:val="20"/>
              </w:rPr>
              <w:t xml:space="preserve">PC — Premium Care ApS · DOMAIN — governance domain code · NNN — three-digit serial within the domain · vX.Y — version (Section 10). Identifiers are never reused, even after a document is retired.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cantSplit/>
          <w:tblHeader/>
        </w:trPr>
        <w:tc>
          <w:tcPr>
            <w:tcW w:type="dxa" w:w="1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Code</w:t>
            </w:r>
          </w:p>
        </w:tc>
        <w:tc>
          <w:tcPr>
            <w:tcW w:type="dxa" w:w="3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Domain</w:t>
            </w:r>
          </w:p>
        </w:tc>
        <w:tc>
          <w:tcPr>
            <w:tcW w:type="dxa" w:w="39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Level in the mandate</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1</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Human resources</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2</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governance</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3</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QMS</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management</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4</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5</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HSE</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and safety</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6</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OPS</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7</w:t>
            </w:r>
          </w:p>
        </w:tc>
      </w:tr>
    </w:tbl>
    <w:p>
      <w:pPr>
        <w:spacing w:after="80"/>
      </w:pPr>
    </w:p>
    <w:p>
      <w:pPr>
        <w:spacing w:after="160" w:line="276"/>
        <w:jc w:val="both"/>
      </w:pPr>
      <w:r>
        <w:rPr>
          <w:rFonts w:ascii="Georgia" w:cs="Georgia" w:eastAsia="Georgia" w:hAnsi="Georgia"/>
          <w:color w:val="1F2328"/>
          <w:sz w:val="21"/>
          <w:szCs w:val="21"/>
        </w:rPr>
        <w:t xml:space="preserve">Level 7 instruments carry a sub-type prefix within the OPS domain: </w:t>
      </w:r>
      <w:r>
        <w:rPr>
          <w:rFonts w:ascii="Georgia" w:cs="Georgia" w:eastAsia="Georgia" w:hAnsi="Georgia"/>
          <w:b/>
          <w:bCs/>
          <w:color w:val="1F2328"/>
          <w:sz w:val="21"/>
          <w:szCs w:val="21"/>
        </w:rPr>
        <w:t xml:space="preserve">SOP</w:t>
      </w:r>
      <w:r>
        <w:rPr>
          <w:rFonts w:ascii="Georgia" w:cs="Georgia" w:eastAsia="Georgia" w:hAnsi="Georgia"/>
          <w:color w:val="1F2328"/>
          <w:sz w:val="21"/>
          <w:szCs w:val="21"/>
        </w:rPr>
        <w:t xml:space="preserve"> (standard operating procedures), </w:t>
      </w:r>
      <w:r>
        <w:rPr>
          <w:rFonts w:ascii="Georgia" w:cs="Georgia" w:eastAsia="Georgia" w:hAnsi="Georgia"/>
          <w:b/>
          <w:bCs/>
          <w:color w:val="1F2328"/>
          <w:sz w:val="21"/>
          <w:szCs w:val="21"/>
        </w:rPr>
        <w:t xml:space="preserve">FRM</w:t>
      </w:r>
      <w:r>
        <w:rPr>
          <w:rFonts w:ascii="Georgia" w:cs="Georgia" w:eastAsia="Georgia" w:hAnsi="Georgia"/>
          <w:color w:val="1F2328"/>
          <w:sz w:val="21"/>
          <w:szCs w:val="21"/>
        </w:rPr>
        <w:t xml:space="preserve"> (forms), </w:t>
      </w:r>
      <w:r>
        <w:rPr>
          <w:rFonts w:ascii="Georgia" w:cs="Georgia" w:eastAsia="Georgia" w:hAnsi="Georgia"/>
          <w:b/>
          <w:bCs/>
          <w:color w:val="1F2328"/>
          <w:sz w:val="21"/>
          <w:szCs w:val="21"/>
        </w:rPr>
        <w:t xml:space="preserve">TPL</w:t>
      </w:r>
      <w:r>
        <w:rPr>
          <w:rFonts w:ascii="Georgia" w:cs="Georgia" w:eastAsia="Georgia" w:hAnsi="Georgia"/>
          <w:color w:val="1F2328"/>
          <w:sz w:val="21"/>
          <w:szCs w:val="21"/>
        </w:rPr>
        <w:t xml:space="preserve"> (templates), </w:t>
      </w:r>
      <w:r>
        <w:rPr>
          <w:rFonts w:ascii="Georgia" w:cs="Georgia" w:eastAsia="Georgia" w:hAnsi="Georgia"/>
          <w:b/>
          <w:bCs/>
          <w:color w:val="1F2328"/>
          <w:sz w:val="21"/>
          <w:szCs w:val="21"/>
        </w:rPr>
        <w:t xml:space="preserve">CHK</w:t>
      </w:r>
      <w:r>
        <w:rPr>
          <w:rFonts w:ascii="Georgia" w:cs="Georgia" w:eastAsia="Georgia" w:hAnsi="Georgia"/>
          <w:color w:val="1F2328"/>
          <w:sz w:val="21"/>
          <w:szCs w:val="21"/>
        </w:rPr>
        <w:t xml:space="preserve"> (checklists) and </w:t>
      </w:r>
      <w:r>
        <w:rPr>
          <w:rFonts w:ascii="Georgia" w:cs="Georgia" w:eastAsia="Georgia" w:hAnsi="Georgia"/>
          <w:b/>
          <w:bCs/>
          <w:color w:val="1F2328"/>
          <w:sz w:val="21"/>
          <w:szCs w:val="21"/>
        </w:rPr>
        <w:t xml:space="preserve">REG</w:t>
      </w:r>
      <w:r>
        <w:rPr>
          <w:rFonts w:ascii="Georgia" w:cs="Georgia" w:eastAsia="Georgia" w:hAnsi="Georgia"/>
          <w:color w:val="1F2328"/>
          <w:sz w:val="21"/>
          <w:szCs w:val="21"/>
        </w:rPr>
        <w:t xml:space="preserve"> (registers) — e.g. PC-OPS-SOP-014, PC-OPS-FRM-006. Each SOP's header must name its parent Tier 2 manual.</w:t>
      </w:r>
    </w:p>
    <w:p>
      <w:pPr>
        <w:pStyle w:val="Heading1"/>
        <w:pBdr>
          <w:bottom w:val="single" w:color="1E4B50" w:sz="6"/>
        </w:pBdr>
        <w:spacing w:after="200" w:before="420"/>
      </w:pPr>
      <w:r>
        <w:rPr>
          <w:rFonts w:ascii="Arial" w:cs="Arial" w:eastAsia="Arial" w:hAnsi="Arial"/>
          <w:b/>
          <w:bCs/>
          <w:color w:val="1E4B50"/>
          <w:sz w:val="30"/>
          <w:szCs w:val="30"/>
        </w:rPr>
        <w:t xml:space="preserve">8   </w:t>
      </w:r>
      <w:r>
        <w:rPr>
          <w:rFonts w:ascii="Arial" w:cs="Arial" w:eastAsia="Arial" w:hAnsi="Arial"/>
          <w:b/>
          <w:bCs/>
          <w:color w:val="1F2328"/>
          <w:sz w:val="30"/>
          <w:szCs w:val="30"/>
        </w:rPr>
        <w:t xml:space="preserve">Ownership, Approval and Review Model</w:t>
      </w:r>
    </w:p>
    <w:p>
      <w:pPr>
        <w:pStyle w:val="Heading2"/>
        <w:spacing w:after="140" w:before="300"/>
      </w:pPr>
      <w:r>
        <w:rPr>
          <w:rFonts w:ascii="Arial" w:cs="Arial" w:eastAsia="Arial" w:hAnsi="Arial"/>
          <w:b/>
          <w:bCs/>
          <w:color w:val="1E4B50"/>
          <w:sz w:val="24"/>
          <w:szCs w:val="24"/>
        </w:rPr>
        <w:t xml:space="preserve">8.1   </w:t>
      </w:r>
      <w:r>
        <w:rPr>
          <w:rFonts w:ascii="Arial" w:cs="Arial" w:eastAsia="Arial" w:hAnsi="Arial"/>
          <w:b/>
          <w:bCs/>
          <w:color w:val="1F2328"/>
          <w:sz w:val="24"/>
          <w:szCs w:val="24"/>
        </w:rPr>
        <w:t xml:space="preserve">Accountable roles</w:t>
      </w:r>
    </w:p>
    <w:p>
      <w:pPr>
        <w:spacing w:after="160" w:line="276"/>
        <w:jc w:val="both"/>
      </w:pPr>
      <w:r>
        <w:rPr>
          <w:rFonts w:ascii="Georgia" w:cs="Georgia" w:eastAsia="Georgia" w:hAnsi="Georgia"/>
          <w:color w:val="1F2328"/>
          <w:sz w:val="21"/>
          <w:szCs w:val="21"/>
        </w:rPr>
        <w:t xml:space="preserve">Ownership is assigned to roles, never to individuals, so that the register survives personnel change. The accountable roles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Role</w:t>
            </w:r>
          </w:p>
        </w:tc>
        <w:tc>
          <w:tcPr>
            <w:tcW w:type="dxa" w:w="56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Governance accountability</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 (bestyrelse)</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Approves Tier 0 and Tier 1 documents; holds ultimate accountability for governance.</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 (adm. direktør)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corporate governance suite; approves Tier 2 manuals on Board delegation; accountable for the library as a whole.</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 (responsible nurse, sygeplejefaglig ansvarlig)</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clinical governance suite; professionally accountable for delegation, medication and patient-safety documentation.</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HR suite, including the Employee Handbook and its statutory alignment.</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Manager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QMS suite and the Document Control Process; custodian of the Master Document Register; owns the compliance and internal control frameworks day-to-day.</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Lead (DPO function)</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information governance suite; GDPR accountability.</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Lead (arbejdsmiljøleder)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health and safety suite; secretary to the AMO.</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SOP library and Level 7 instruments jointly with the relevant domain owner.</w:t>
            </w:r>
          </w:p>
        </w:tc>
      </w:tr>
    </w:tbl>
    <w:p>
      <w:pPr>
        <w:spacing w:after="80"/>
      </w:pPr>
    </w:p>
    <w:p>
      <w:pPr>
        <w:spacing w:after="160" w:line="276"/>
        <w:jc w:val="both"/>
      </w:pPr>
      <w:r>
        <w:rPr>
          <w:rFonts w:ascii="Georgia" w:cs="Georgia" w:eastAsia="Georgia" w:hAnsi="Georgia"/>
          <w:color w:val="1F2328"/>
          <w:sz w:val="21"/>
          <w:szCs w:val="21"/>
        </w:rPr>
        <w:t xml:space="preserve">In the founding organisation several roles may be held by one person; the register records the role, and the Decision Authority Matrix (PC-GOV-006) governs how conflicts of duty are managed when roles combine.</w:t>
      </w:r>
    </w:p>
    <w:p>
      <w:pPr>
        <w:pStyle w:val="Heading2"/>
        <w:spacing w:after="140" w:before="300"/>
      </w:pPr>
      <w:r>
        <w:rPr>
          <w:rFonts w:ascii="Arial" w:cs="Arial" w:eastAsia="Arial" w:hAnsi="Arial"/>
          <w:b/>
          <w:bCs/>
          <w:color w:val="1E4B50"/>
          <w:sz w:val="24"/>
          <w:szCs w:val="24"/>
        </w:rPr>
        <w:t xml:space="preserve">8.2   </w:t>
      </w:r>
      <w:r>
        <w:rPr>
          <w:rFonts w:ascii="Arial" w:cs="Arial" w:eastAsia="Arial" w:hAnsi="Arial"/>
          <w:b/>
          <w:bCs/>
          <w:color w:val="1F2328"/>
          <w:sz w:val="24"/>
          <w:szCs w:val="24"/>
        </w:rPr>
        <w:t xml:space="preserve">Approval authority</w:t>
      </w:r>
    </w:p>
    <w:p>
      <w:pPr>
        <w:pStyle w:val="ListParagraph"/>
        <w:numPr>
          <w:ilvl w:val="0"/>
          <w:numId w:val="2"/>
        </w:numPr>
        <w:spacing w:after="90" w:line="264"/>
      </w:pPr>
      <w:r>
        <w:rPr>
          <w:rFonts w:ascii="Georgia" w:cs="Georgia" w:eastAsia="Georgia" w:hAnsi="Georgia"/>
          <w:b/>
          <w:bCs/>
          <w:color w:val="1F2328"/>
          <w:sz w:val="21"/>
          <w:szCs w:val="21"/>
        </w:rPr>
        <w:t xml:space="preserve">Tier 0–1:</w:t>
      </w:r>
      <w:r>
        <w:rPr>
          <w:rFonts w:ascii="Georgia" w:cs="Georgia" w:eastAsia="Georgia" w:hAnsi="Georgia"/>
          <w:color w:val="1F2328"/>
          <w:sz w:val="21"/>
          <w:szCs w:val="21"/>
        </w:rPr>
        <w:t xml:space="preserve"> Board of Directors, on the Managing Director's recommendation.</w:t>
      </w:r>
    </w:p>
    <w:p>
      <w:pPr>
        <w:pStyle w:val="ListParagraph"/>
        <w:numPr>
          <w:ilvl w:val="0"/>
          <w:numId w:val="2"/>
        </w:numPr>
        <w:spacing w:after="90" w:line="264"/>
      </w:pPr>
      <w:r>
        <w:rPr>
          <w:rFonts w:ascii="Georgia" w:cs="Georgia" w:eastAsia="Georgia" w:hAnsi="Georgia"/>
          <w:b/>
          <w:bCs/>
          <w:color w:val="1F2328"/>
          <w:sz w:val="21"/>
          <w:szCs w:val="21"/>
        </w:rPr>
        <w:t xml:space="preserve">Tier 2:</w:t>
      </w:r>
      <w:r>
        <w:rPr>
          <w:rFonts w:ascii="Georgia" w:cs="Georgia" w:eastAsia="Georgia" w:hAnsi="Georgia"/>
          <w:color w:val="1F2328"/>
          <w:sz w:val="21"/>
          <w:szCs w:val="21"/>
        </w:rPr>
        <w:t xml:space="preserve"> Managing Director, on the recommendation of the document owner and after review by the relevant committee (Section 14). Clinical Tier 2 documents additionally require the Head of Clinical Services' professional endorsement.</w:t>
      </w:r>
    </w:p>
    <w:p>
      <w:pPr>
        <w:pStyle w:val="ListParagraph"/>
        <w:numPr>
          <w:ilvl w:val="0"/>
          <w:numId w:val="2"/>
        </w:numPr>
        <w:spacing w:after="90" w:line="264"/>
      </w:pPr>
      <w:r>
        <w:rPr>
          <w:rFonts w:ascii="Georgia" w:cs="Georgia" w:eastAsia="Georgia" w:hAnsi="Georgia"/>
          <w:b/>
          <w:bCs/>
          <w:color w:val="1F2328"/>
          <w:sz w:val="21"/>
          <w:szCs w:val="21"/>
        </w:rPr>
        <w:t xml:space="preserve">Tier 3:</w:t>
      </w:r>
      <w:r>
        <w:rPr>
          <w:rFonts w:ascii="Georgia" w:cs="Georgia" w:eastAsia="Georgia" w:hAnsi="Georgia"/>
          <w:color w:val="1F2328"/>
          <w:sz w:val="21"/>
          <w:szCs w:val="21"/>
        </w:rPr>
        <w:t xml:space="preserve"> The owning domain lead, countersigned by the Quality &amp; Compliance Manager for document-control conformity.</w:t>
      </w:r>
    </w:p>
    <w:p>
      <w:pPr>
        <w:pStyle w:val="ListParagraph"/>
        <w:numPr>
          <w:ilvl w:val="0"/>
          <w:numId w:val="2"/>
        </w:numPr>
        <w:spacing w:after="90" w:line="264"/>
      </w:pPr>
      <w:r>
        <w:rPr>
          <w:rFonts w:ascii="Georgia" w:cs="Georgia" w:eastAsia="Georgia" w:hAnsi="Georgia"/>
          <w:b/>
          <w:bCs/>
          <w:color w:val="1F2328"/>
          <w:sz w:val="21"/>
          <w:szCs w:val="21"/>
        </w:rPr>
        <w:t xml:space="preserve">Tier 4:</w:t>
      </w:r>
      <w:r>
        <w:rPr>
          <w:rFonts w:ascii="Georgia" w:cs="Georgia" w:eastAsia="Georgia" w:hAnsi="Georgia"/>
          <w:color w:val="1F2328"/>
          <w:sz w:val="21"/>
          <w:szCs w:val="21"/>
        </w:rPr>
        <w:t xml:space="preserve"> The owning domain lead. Registers of statutory significance (e.g. training records, incident registers) may not be altered in structure without Tier 2 owner approval.</w:t>
      </w:r>
    </w:p>
    <w:p>
      <w:pPr>
        <w:pStyle w:val="Heading2"/>
        <w:spacing w:after="140" w:before="300"/>
      </w:pPr>
      <w:r>
        <w:rPr>
          <w:rFonts w:ascii="Arial" w:cs="Arial" w:eastAsia="Arial" w:hAnsi="Arial"/>
          <w:b/>
          <w:bCs/>
          <w:color w:val="1E4B50"/>
          <w:sz w:val="24"/>
          <w:szCs w:val="24"/>
        </w:rPr>
        <w:t xml:space="preserve">8.3   </w:t>
      </w:r>
      <w:r>
        <w:rPr>
          <w:rFonts w:ascii="Arial" w:cs="Arial" w:eastAsia="Arial" w:hAnsi="Arial"/>
          <w:b/>
          <w:bCs/>
          <w:color w:val="1F2328"/>
          <w:sz w:val="24"/>
          <w:szCs w:val="24"/>
        </w:rPr>
        <w:t xml:space="preserve">Review frequency</w:t>
      </w:r>
    </w:p>
    <w:p>
      <w:pPr>
        <w:spacing w:after="160" w:line="276"/>
        <w:jc w:val="both"/>
      </w:pPr>
      <w:r>
        <w:rPr>
          <w:rFonts w:ascii="Georgia" w:cs="Georgia" w:eastAsia="Georgia" w:hAnsi="Georgia"/>
          <w:color w:val="1F2328"/>
          <w:sz w:val="21"/>
          <w:szCs w:val="21"/>
        </w:rPr>
        <w:t xml:space="preserve">Default review cycles, subject to earlier review on legislative change, organisational change, audit finding, serious incident or regulatory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 class</w:t>
            </w:r>
          </w:p>
        </w:tc>
        <w:tc>
          <w:tcPr>
            <w:tcW w:type="dxa" w:w="48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 cycle</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0 Architecture; compliance-critical registers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1 corporate governance documents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Every three years</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information governance and health &amp; safety manuals; Employee Handbook</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Other Tier 2 manuals and policies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Every two years</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3 SOPs and Tier 4 instruments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Every two years, or immediately upon change to the parent manual</w:t>
            </w:r>
          </w:p>
        </w:tc>
      </w:tr>
    </w:tbl>
    <w:p>
      <w:pPr>
        <w:pStyle w:val="Heading1"/>
        <w:pBdr>
          <w:bottom w:val="single" w:color="1E4B50" w:sz="6"/>
        </w:pBdr>
        <w:spacing w:after="200" w:before="420"/>
      </w:pPr>
      <w:r>
        <w:rPr>
          <w:rFonts w:ascii="Arial" w:cs="Arial" w:eastAsia="Arial" w:hAnsi="Arial"/>
          <w:b/>
          <w:bCs/>
          <w:color w:val="1E4B50"/>
          <w:sz w:val="30"/>
          <w:szCs w:val="30"/>
        </w:rPr>
        <w:t xml:space="preserve">9   </w:t>
      </w:r>
      <w:r>
        <w:rPr>
          <w:rFonts w:ascii="Arial" w:cs="Arial" w:eastAsia="Arial" w:hAnsi="Arial"/>
          <w:b/>
          <w:bCs/>
          <w:color w:val="1F2328"/>
          <w:sz w:val="30"/>
          <w:szCs w:val="30"/>
        </w:rPr>
        <w:t xml:space="preserve">Master Document Register</w:t>
      </w:r>
    </w:p>
    <w:p>
      <w:pPr>
        <w:spacing w:after="160" w:line="276"/>
        <w:jc w:val="both"/>
      </w:pPr>
      <w:r>
        <w:rPr>
          <w:rFonts w:ascii="Georgia" w:cs="Georgia" w:eastAsia="Georgia" w:hAnsi="Georgia"/>
          <w:color w:val="1F2328"/>
          <w:sz w:val="21"/>
          <w:szCs w:val="21"/>
        </w:rPr>
        <w:t xml:space="preserve">The register below is the definitive inventory of the library. The Quality &amp; Compliance Manager maintains the live register (PC-OPS-REG-001) in this structure; any addition, retirement or change of ownership requires an update to this Specification at its next review. Review cycles follow Section 8.3. </w:t>
      </w:r>
      <w:r>
        <w:rPr>
          <w:rFonts w:ascii="Georgia" w:cs="Georgia" w:eastAsia="Georgia" w:hAnsi="Georgia"/>
          <w:i/>
          <w:iCs/>
          <w:color w:val="1F2328"/>
          <w:sz w:val="21"/>
          <w:szCs w:val="21"/>
        </w:rPr>
        <w:t xml:space="preserve">MD = Managing Director.</w:t>
      </w:r>
    </w:p>
    <w:p>
      <w:pPr>
        <w:pStyle w:val="Heading2"/>
        <w:spacing w:after="140" w:before="300"/>
      </w:pPr>
      <w:r>
        <w:rPr>
          <w:rFonts w:ascii="Arial" w:cs="Arial" w:eastAsia="Arial" w:hAnsi="Arial"/>
          <w:b/>
          <w:bCs/>
          <w:color w:val="1E4B50"/>
          <w:sz w:val="24"/>
          <w:szCs w:val="24"/>
        </w:rPr>
        <w:t xml:space="preserve">9.1   </w:t>
      </w:r>
      <w:r>
        <w:rPr>
          <w:rFonts w:ascii="Arial" w:cs="Arial" w:eastAsia="Arial" w:hAnsi="Arial"/>
          <w:b/>
          <w:bCs/>
          <w:color w:val="1F2328"/>
          <w:sz w:val="24"/>
          <w:szCs w:val="24"/>
        </w:rPr>
        <w:t xml:space="preserve">Level 1 — Corporate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Architecture Specification (this document)</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PC-GOV-002</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PC-GOV-003</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Charter</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Chair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Committee Terms of Reference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Chair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PC-GOV-005</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of Authority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PC-GOV-006</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Decision Authority Matrix</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PC-GOV-007</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Governance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PC-GOV-008</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Governance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PC-GOV-009</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Internal Control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PC-GOV-010</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Compliance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bl>
    <w:p>
      <w:pPr>
        <w:spacing w:after="200"/>
      </w:pPr>
    </w:p>
    <w:p>
      <w:pPr>
        <w:pStyle w:val="Heading2"/>
        <w:spacing w:after="140" w:before="300"/>
      </w:pPr>
      <w:r>
        <w:rPr>
          <w:rFonts w:ascii="Arial" w:cs="Arial" w:eastAsia="Arial" w:hAnsi="Arial"/>
          <w:b/>
          <w:bCs/>
          <w:color w:val="1E4B50"/>
          <w:sz w:val="24"/>
          <w:szCs w:val="24"/>
        </w:rPr>
        <w:t xml:space="preserve">9.2   </w:t>
      </w:r>
      <w:r>
        <w:rPr>
          <w:rFonts w:ascii="Arial" w:cs="Arial" w:eastAsia="Arial" w:hAnsi="Arial"/>
          <w:b/>
          <w:bCs/>
          <w:color w:val="1F2328"/>
          <w:sz w:val="24"/>
          <w:szCs w:val="24"/>
        </w:rPr>
        <w:t xml:space="preserve">Level 2 — Human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(communication document)</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Policy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Manager Handbook (communication document)</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Leadership Handbook (communication document)</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Recruitment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Performance Management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Relations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Learning &amp; Development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Onboarding Guide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PC-HR-010</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Competency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Succession Planning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bl>
    <w:p>
      <w:pPr>
        <w:spacing w:after="200"/>
      </w:pPr>
    </w:p>
    <w:p>
      <w:pPr>
        <w:pStyle w:val="Heading2"/>
        <w:spacing w:after="140" w:before="300"/>
      </w:pPr>
      <w:r>
        <w:rPr>
          <w:rFonts w:ascii="Arial" w:cs="Arial" w:eastAsia="Arial" w:hAnsi="Arial"/>
          <w:b/>
          <w:bCs/>
          <w:color w:val="1E4B50"/>
          <w:sz w:val="24"/>
          <w:szCs w:val="24"/>
        </w:rPr>
        <w:t xml:space="preserve">9.3   </w:t>
      </w:r>
      <w:r>
        <w:rPr>
          <w:rFonts w:ascii="Arial" w:cs="Arial" w:eastAsia="Arial" w:hAnsi="Arial"/>
          <w:b/>
          <w:bCs/>
          <w:color w:val="1F2328"/>
          <w:sz w:val="24"/>
          <w:szCs w:val="24"/>
        </w:rPr>
        <w:t xml:space="preserve">Level 3 — Clinical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Governance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Patient Safety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Medication Management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Safeguarding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Documentation Standards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Audit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Infection Prevention &amp; Control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Incident Reporting Manual (UTH / DPSD)</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Risk Management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PC-CLIN-010</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Professional Standards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bl>
    <w:p>
      <w:pPr>
        <w:spacing w:after="200"/>
      </w:pPr>
    </w:p>
    <w:p>
      <w:pPr>
        <w:pStyle w:val="Heading2"/>
        <w:spacing w:after="140" w:before="300"/>
      </w:pPr>
      <w:r>
        <w:rPr>
          <w:rFonts w:ascii="Arial" w:cs="Arial" w:eastAsia="Arial" w:hAnsi="Arial"/>
          <w:b/>
          <w:bCs/>
          <w:color w:val="1E4B50"/>
          <w:sz w:val="24"/>
          <w:szCs w:val="24"/>
        </w:rPr>
        <w:t xml:space="preserve">9.4   </w:t>
      </w:r>
      <w:r>
        <w:rPr>
          <w:rFonts w:ascii="Arial" w:cs="Arial" w:eastAsia="Arial" w:hAnsi="Arial"/>
          <w:b/>
          <w:bCs/>
          <w:color w:val="1F2328"/>
          <w:sz w:val="24"/>
          <w:szCs w:val="24"/>
        </w:rPr>
        <w:t xml:space="preserve">Level 4 —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Management System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Assurance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Continuous Improvement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Audit Programme</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Corrective &amp; Preventive Action (CAPA)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Management Review Procedure</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KPI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Control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Records Management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bl>
    <w:p>
      <w:pPr>
        <w:spacing w:after="200"/>
      </w:pPr>
    </w:p>
    <w:p>
      <w:pPr>
        <w:pStyle w:val="Heading2"/>
        <w:spacing w:after="140" w:before="300"/>
      </w:pPr>
      <w:r>
        <w:rPr>
          <w:rFonts w:ascii="Arial" w:cs="Arial" w:eastAsia="Arial" w:hAnsi="Arial"/>
          <w:b/>
          <w:bCs/>
          <w:color w:val="1E4B50"/>
          <w:sz w:val="24"/>
          <w:szCs w:val="24"/>
        </w:rPr>
        <w:t xml:space="preserve">9.5   </w:t>
      </w:r>
      <w:r>
        <w:rPr>
          <w:rFonts w:ascii="Arial" w:cs="Arial" w:eastAsia="Arial" w:hAnsi="Arial"/>
          <w:b/>
          <w:bCs/>
          <w:color w:val="1F2328"/>
          <w:sz w:val="24"/>
          <w:szCs w:val="24"/>
        </w:rPr>
        <w:t xml:space="preserve">Level 5 — Information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Cyber Security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Acceptable Use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AI Usage Policy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Email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Password Standard</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Classification Standard</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Retention Schedule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PC-IG-010</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Business Continuity Plan</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PC-IG-011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Disaster Recovery Plan</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bl>
    <w:p>
      <w:pPr>
        <w:spacing w:after="200"/>
      </w:pPr>
    </w:p>
    <w:p>
      <w:pPr>
        <w:pStyle w:val="Heading2"/>
        <w:spacing w:after="140" w:before="300"/>
      </w:pPr>
      <w:r>
        <w:rPr>
          <w:rFonts w:ascii="Arial" w:cs="Arial" w:eastAsia="Arial" w:hAnsi="Arial"/>
          <w:b/>
          <w:bCs/>
          <w:color w:val="1E4B50"/>
          <w:sz w:val="24"/>
          <w:szCs w:val="24"/>
        </w:rPr>
        <w:t xml:space="preserve">9.6   </w:t>
      </w:r>
      <w:r>
        <w:rPr>
          <w:rFonts w:ascii="Arial" w:cs="Arial" w:eastAsia="Arial" w:hAnsi="Arial"/>
          <w:b/>
          <w:bCs/>
          <w:color w:val="1F2328"/>
          <w:sz w:val="24"/>
          <w:szCs w:val="24"/>
        </w:rPr>
        <w:t xml:space="preserve">Level 6 — Health and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 Handling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Fire Safety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Lone Worker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Violence &amp; Aggression Policy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PPE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Occupational Health Policy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Emergency Response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Accident Reporting Procedure (workplace)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bl>
    <w:p>
      <w:pPr>
        <w:spacing w:after="200"/>
      </w:pPr>
    </w:p>
    <w:p>
      <w:pPr>
        <w:pStyle w:val="Heading2"/>
        <w:spacing w:after="140" w:before="300"/>
      </w:pPr>
      <w:r>
        <w:rPr>
          <w:rFonts w:ascii="Arial" w:cs="Arial" w:eastAsia="Arial" w:hAnsi="Arial"/>
          <w:b/>
          <w:bCs/>
          <w:color w:val="1E4B50"/>
          <w:sz w:val="24"/>
          <w:szCs w:val="24"/>
        </w:rPr>
        <w:t xml:space="preserve">9.7   </w:t>
      </w:r>
      <w:r>
        <w:rPr>
          <w:rFonts w:ascii="Arial" w:cs="Arial" w:eastAsia="Arial" w:hAnsi="Arial"/>
          <w:b/>
          <w:bCs/>
          <w:color w:val="1F2328"/>
          <w:sz w:val="24"/>
          <w:szCs w:val="24"/>
        </w:rPr>
        <w:t xml:space="preserve">Level 7 — Operations (controlled instrument classes)</w:t>
      </w:r>
    </w:p>
    <w:p>
      <w:pPr>
        <w:spacing w:after="160" w:line="276"/>
        <w:jc w:val="both"/>
      </w:pPr>
      <w:r>
        <w:rPr>
          <w:rFonts w:ascii="Georgia" w:cs="Georgia" w:eastAsia="Georgia" w:hAnsi="Georgia"/>
          <w:color w:val="1F2328"/>
          <w:sz w:val="21"/>
          <w:szCs w:val="21"/>
        </w:rPr>
        <w:t xml:space="preserve">Level 7 is an open series governed by the Document Control Manual (PC-QMS-008). The classes and their series owners are fixed here; individual instruments are registered in the live register as they are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Series</w:t>
            </w:r>
          </w:p>
        </w:tc>
        <w:tc>
          <w:tcPr>
            <w:tcW w:type="dxa" w:w="4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Class</w:t>
            </w:r>
          </w:p>
        </w:tc>
        <w:tc>
          <w:tcPr>
            <w:tcW w:type="dxa" w:w="2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Series owner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PC-OPS-SOP-nnn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Standard operating procedures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Mgr with domain owner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PC-OPS-FRM-nnn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Forms, incl. incident forms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PC-OPS-TPL-nnn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Templates, incl. risk assessment templates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PC-OPS-CHK-nnn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Checklists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PC-OPS-REG-nnn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Registers, incl. training records and competency assessments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r>
    </w:tbl>
    <w:p>
      <w:pPr>
        <w:pStyle w:val="Heading1"/>
        <w:pBdr>
          <w:bottom w:val="single" w:color="1E4B50" w:sz="6"/>
        </w:pBdr>
        <w:spacing w:after="200" w:before="420"/>
      </w:pPr>
      <w:r>
        <w:rPr>
          <w:rFonts w:ascii="Arial" w:cs="Arial" w:eastAsia="Arial" w:hAnsi="Arial"/>
          <w:b/>
          <w:bCs/>
          <w:color w:val="1E4B50"/>
          <w:sz w:val="30"/>
          <w:szCs w:val="30"/>
        </w:rPr>
        <w:t xml:space="preserve">10   </w:t>
      </w:r>
      <w:r>
        <w:rPr>
          <w:rFonts w:ascii="Arial" w:cs="Arial" w:eastAsia="Arial" w:hAnsi="Arial"/>
          <w:b/>
          <w:bCs/>
          <w:color w:val="1F2328"/>
          <w:sz w:val="30"/>
          <w:szCs w:val="30"/>
        </w:rPr>
        <w:t xml:space="preserve">Version Control Standard</w:t>
      </w:r>
    </w:p>
    <w:p>
      <w:pPr>
        <w:pStyle w:val="ListParagraph"/>
        <w:numPr>
          <w:ilvl w:val="0"/>
          <w:numId w:val="2"/>
        </w:numPr>
        <w:spacing w:after="90" w:line="264"/>
      </w:pPr>
      <w:r>
        <w:rPr>
          <w:rFonts w:ascii="Georgia" w:cs="Georgia" w:eastAsia="Georgia" w:hAnsi="Georgia"/>
          <w:b/>
          <w:bCs/>
          <w:color w:val="1F2328"/>
          <w:sz w:val="21"/>
          <w:szCs w:val="21"/>
        </w:rPr>
        <w:t xml:space="preserve">Numbering.</w:t>
      </w:r>
      <w:r>
        <w:rPr>
          <w:rFonts w:ascii="Georgia" w:cs="Georgia" w:eastAsia="Georgia" w:hAnsi="Georgia"/>
          <w:color w:val="1F2328"/>
          <w:sz w:val="21"/>
          <w:szCs w:val="21"/>
        </w:rPr>
        <w:t xml:space="preserve"> Major versions (1.0 → 2.0) mark changes of substance requiring full re-approval by the approval authority. Minor versions (1.0 → 1.1) mark editorial or cross-reference corrections approved by the document owner and logged with the Quality &amp; Compliance Manager.</w:t>
      </w:r>
    </w:p>
    <w:p>
      <w:pPr>
        <w:pStyle w:val="ListParagraph"/>
        <w:numPr>
          <w:ilvl w:val="0"/>
          <w:numId w:val="2"/>
        </w:numPr>
        <w:spacing w:after="90" w:line="264"/>
      </w:pPr>
      <w:r>
        <w:rPr>
          <w:rFonts w:ascii="Georgia" w:cs="Georgia" w:eastAsia="Georgia" w:hAnsi="Georgia"/>
          <w:b/>
          <w:bCs/>
          <w:color w:val="1F2328"/>
          <w:sz w:val="21"/>
          <w:szCs w:val="21"/>
        </w:rPr>
        <w:t xml:space="preserve">Drafts</w:t>
      </w:r>
      <w:r>
        <w:rPr>
          <w:rFonts w:ascii="Georgia" w:cs="Georgia" w:eastAsia="Georgia" w:hAnsi="Georgia"/>
          <w:color w:val="1F2328"/>
          <w:sz w:val="21"/>
          <w:szCs w:val="21"/>
        </w:rPr>
        <w:t xml:space="preserve"> carry versions below 1.0 (0.1, 0.2 …) and are never distributed as authority for action.</w:t>
      </w:r>
    </w:p>
    <w:p>
      <w:pPr>
        <w:pStyle w:val="ListParagraph"/>
        <w:numPr>
          <w:ilvl w:val="0"/>
          <w:numId w:val="2"/>
        </w:numPr>
        <w:spacing w:after="90" w:line="264"/>
      </w:pPr>
      <w:r>
        <w:rPr>
          <w:rFonts w:ascii="Georgia" w:cs="Georgia" w:eastAsia="Georgia" w:hAnsi="Georgia"/>
          <w:b/>
          <w:bCs/>
          <w:color w:val="1F2328"/>
          <w:sz w:val="21"/>
          <w:szCs w:val="21"/>
        </w:rPr>
        <w:t xml:space="preserve">Every document</w:t>
      </w:r>
      <w:r>
        <w:rPr>
          <w:rFonts w:ascii="Georgia" w:cs="Georgia" w:eastAsia="Georgia" w:hAnsi="Georgia"/>
          <w:color w:val="1F2328"/>
          <w:sz w:val="21"/>
          <w:szCs w:val="21"/>
        </w:rPr>
        <w:t xml:space="preserve"> carries a Document Control block and a Version History table in the standard structure (Section 15.4). The version history is never deleted or rewritten.</w:t>
      </w:r>
    </w:p>
    <w:p>
      <w:pPr>
        <w:pStyle w:val="ListParagraph"/>
        <w:numPr>
          <w:ilvl w:val="0"/>
          <w:numId w:val="2"/>
        </w:numPr>
        <w:spacing w:after="90" w:line="264"/>
      </w:pPr>
      <w:r>
        <w:rPr>
          <w:rFonts w:ascii="Georgia" w:cs="Georgia" w:eastAsia="Georgia" w:hAnsi="Georgia"/>
          <w:b/>
          <w:bCs/>
          <w:color w:val="1F2328"/>
          <w:sz w:val="21"/>
          <w:szCs w:val="21"/>
        </w:rPr>
        <w:t xml:space="preserve">Only one version is in force.</w:t>
      </w:r>
      <w:r>
        <w:rPr>
          <w:rFonts w:ascii="Georgia" w:cs="Georgia" w:eastAsia="Georgia" w:hAnsi="Georgia"/>
          <w:color w:val="1F2328"/>
          <w:sz w:val="21"/>
          <w:szCs w:val="21"/>
        </w:rPr>
        <w:t xml:space="preserve"> On issue of a new version, the Quality &amp; Compliance Manager withdraws the previous version from circulation and archives it in the superseded-document archive under the Records Management Manual (PC-QMS-009).</w:t>
      </w:r>
    </w:p>
    <w:p>
      <w:pPr>
        <w:pStyle w:val="ListParagraph"/>
        <w:numPr>
          <w:ilvl w:val="0"/>
          <w:numId w:val="2"/>
        </w:numPr>
        <w:spacing w:after="90" w:line="264"/>
      </w:pPr>
      <w:r>
        <w:rPr>
          <w:rFonts w:ascii="Georgia" w:cs="Georgia" w:eastAsia="Georgia" w:hAnsi="Georgia"/>
          <w:b/>
          <w:bCs/>
          <w:color w:val="1F2328"/>
          <w:sz w:val="21"/>
          <w:szCs w:val="21"/>
        </w:rPr>
        <w:t xml:space="preserve">Uncontrolled copies.</w:t>
      </w:r>
      <w:r>
        <w:rPr>
          <w:rFonts w:ascii="Georgia" w:cs="Georgia" w:eastAsia="Georgia" w:hAnsi="Georgia"/>
          <w:color w:val="1F2328"/>
          <w:sz w:val="21"/>
          <w:szCs w:val="21"/>
        </w:rPr>
        <w:t xml:space="preserve"> Any printed or exported copy is uncontrolled from the moment of printing and must be checked against the live register before reliance.</w:t>
      </w:r>
    </w:p>
    <w:p>
      <w:pPr>
        <w:pStyle w:val="Heading1"/>
        <w:pBdr>
          <w:bottom w:val="single" w:color="1E4B50" w:sz="6"/>
        </w:pBdr>
        <w:spacing w:after="200" w:before="420"/>
      </w:pPr>
      <w:r>
        <w:rPr>
          <w:rFonts w:ascii="Arial" w:cs="Arial" w:eastAsia="Arial" w:hAnsi="Arial"/>
          <w:b/>
          <w:bCs/>
          <w:color w:val="1E4B50"/>
          <w:sz w:val="30"/>
          <w:szCs w:val="30"/>
        </w:rPr>
        <w:t xml:space="preserve">11   </w:t>
      </w:r>
      <w:r>
        <w:rPr>
          <w:rFonts w:ascii="Arial" w:cs="Arial" w:eastAsia="Arial" w:hAnsi="Arial"/>
          <w:b/>
          <w:bCs/>
          <w:color w:val="1F2328"/>
          <w:sz w:val="30"/>
          <w:szCs w:val="30"/>
        </w:rPr>
        <w:t xml:space="preserve">Document Relationships and the Single-Source Rule</w:t>
      </w:r>
    </w:p>
    <w:p>
      <w:pPr>
        <w:spacing w:after="160" w:line="276"/>
        <w:jc w:val="both"/>
      </w:pPr>
      <w:r>
        <w:rPr>
          <w:rFonts w:ascii="Georgia" w:cs="Georgia" w:eastAsia="Georgia" w:hAnsi="Georgia"/>
          <w:color w:val="1F2328"/>
          <w:sz w:val="21"/>
          <w:szCs w:val="21"/>
        </w:rPr>
        <w:t xml:space="preserve">Every topic in the library has exactly one authoritative source. All other documents cite that source by document ID and never restate its content, beyond the minimum context a reader needs to follow the reference. This is the mechanism that keeps seventy documents free of contradiction.</w:t>
      </w:r>
    </w:p>
    <w:p>
      <w:pPr>
        <w:pStyle w:val="Heading2"/>
        <w:spacing w:after="140" w:before="300"/>
      </w:pPr>
      <w:r>
        <w:rPr>
          <w:rFonts w:ascii="Arial" w:cs="Arial" w:eastAsia="Arial" w:hAnsi="Arial"/>
          <w:b/>
          <w:bCs/>
          <w:color w:val="1E4B50"/>
          <w:sz w:val="24"/>
          <w:szCs w:val="24"/>
        </w:rPr>
        <w:t xml:space="preserve">11.1   </w:t>
      </w:r>
      <w:r>
        <w:rPr>
          <w:rFonts w:ascii="Arial" w:cs="Arial" w:eastAsia="Arial" w:hAnsi="Arial"/>
          <w:b/>
          <w:bCs/>
          <w:color w:val="1F2328"/>
          <w:sz w:val="24"/>
          <w:szCs w:val="24"/>
        </w:rPr>
        <w:t xml:space="preserve">Authoritative-source table (principal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426"/>
      </w:tblGrid>
      <w:tr>
        <w:trPr>
          <w:cantSplit/>
          <w:tblHeader/>
        </w:trPr>
        <w:tc>
          <w:tcPr>
            <w:tcW w:type="dxa" w:w="3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Topic</w:t>
            </w:r>
          </w:p>
        </w:tc>
        <w:tc>
          <w:tcPr>
            <w:tcW w:type="dxa" w:w="2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Authoritative source</w:t>
            </w:r>
          </w:p>
        </w:tc>
        <w:tc>
          <w:tcPr>
            <w:tcW w:type="dxa" w:w="34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Typical referencing documents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Delegated healthcare tasks and delegation limits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 with PC-CLIN-010</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Ch. 11; SOPs; Competency Framework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Patient-safety (UTH) reporting to DPSD</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PC-CLIN-008</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manuals; Employee Handbook Ch. 9; Quality KPI Framework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Workplace accident reporting (Arbejdstilsynet / EASY)</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PC-HSE-009</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Manual; Employee Handbook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documentation and record-keeping standards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Ch. 10; all clinical SOPs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Personal data, consent and data-subject rights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All manuals; Employee Handbook; Recruitment Manual</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retention periods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PC-IG-009</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Records Management Manual; all domains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appetite, risk registers and escalation</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PC-GOV-008</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PC-CLIN-009 (clinical application); PC-IG-003; PC-HSE-001</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Spending, signing and decision rights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PC-GOV-005 / PC-GOV-006</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Governance Manual; all managers' documents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lifecycle, format and control</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 with PC-QMS-008</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Every controlled document</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terms, conduct and workplace rules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(summary layer); Manager Handbook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and competency requirements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PC-HR-010 with PC-HR-008</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manuals; Onboarding Guide; SOPs</w:t>
            </w:r>
          </w:p>
        </w:tc>
      </w:tr>
    </w:tbl>
    <w:p>
      <w:pPr>
        <w:spacing w:after="80"/>
      </w:pPr>
    </w:p>
    <w:p>
      <w:pPr>
        <w:pStyle w:val="Heading2"/>
        <w:spacing w:after="140" w:before="300"/>
      </w:pPr>
      <w:r>
        <w:rPr>
          <w:rFonts w:ascii="Arial" w:cs="Arial" w:eastAsia="Arial" w:hAnsi="Arial"/>
          <w:b/>
          <w:bCs/>
          <w:color w:val="1E4B50"/>
          <w:sz w:val="24"/>
          <w:szCs w:val="24"/>
        </w:rPr>
        <w:t xml:space="preserve">11.2   </w:t>
      </w:r>
      <w:r>
        <w:rPr>
          <w:rFonts w:ascii="Arial" w:cs="Arial" w:eastAsia="Arial" w:hAnsi="Arial"/>
          <w:b/>
          <w:bCs/>
          <w:color w:val="1F2328"/>
          <w:sz w:val="24"/>
          <w:szCs w:val="24"/>
        </w:rPr>
        <w:t xml:space="preserve">Relationship rules</w:t>
      </w:r>
    </w:p>
    <w:p>
      <w:pPr>
        <w:pStyle w:val="ListParagraph"/>
        <w:numPr>
          <w:ilvl w:val="0"/>
          <w:numId w:val="2"/>
        </w:numPr>
        <w:spacing w:after="90" w:line="264"/>
      </w:pPr>
      <w:r>
        <w:rPr>
          <w:rFonts w:ascii="Georgia" w:cs="Georgia" w:eastAsia="Georgia" w:hAnsi="Georgia"/>
          <w:b/>
          <w:bCs/>
          <w:color w:val="1F2328"/>
          <w:sz w:val="21"/>
          <w:szCs w:val="21"/>
        </w:rPr>
        <w:t xml:space="preserve">Downward traceability.</w:t>
      </w:r>
      <w:r>
        <w:rPr>
          <w:rFonts w:ascii="Georgia" w:cs="Georgia" w:eastAsia="Georgia" w:hAnsi="Georgia"/>
          <w:color w:val="1F2328"/>
          <w:sz w:val="21"/>
          <w:szCs w:val="21"/>
        </w:rPr>
        <w:t xml:space="preserve"> Every Tier 3 SOP names its parent Tier 2 manual; every Tier 4 form names the SOP or manual it serves.</w:t>
      </w:r>
    </w:p>
    <w:p>
      <w:pPr>
        <w:pStyle w:val="ListParagraph"/>
        <w:numPr>
          <w:ilvl w:val="0"/>
          <w:numId w:val="2"/>
        </w:numPr>
        <w:spacing w:after="90" w:line="264"/>
      </w:pPr>
      <w:r>
        <w:rPr>
          <w:rFonts w:ascii="Georgia" w:cs="Georgia" w:eastAsia="Georgia" w:hAnsi="Georgia"/>
          <w:b/>
          <w:bCs/>
          <w:color w:val="1F2328"/>
          <w:sz w:val="21"/>
          <w:szCs w:val="21"/>
        </w:rPr>
        <w:t xml:space="preserve">Domain interfaces.</w:t>
      </w:r>
      <w:r>
        <w:rPr>
          <w:rFonts w:ascii="Georgia" w:cs="Georgia" w:eastAsia="Georgia" w:hAnsi="Georgia"/>
          <w:color w:val="1F2328"/>
          <w:sz w:val="21"/>
          <w:szCs w:val="21"/>
        </w:rPr>
        <w:t xml:space="preserve"> Where two domains meet (e.g. clinical incidents with workplace accidents, or health data with GDPR), each manual states the boundary and cites the neighbouring authoritative source. Boundary statements are agreed by both document owners.</w:t>
      </w:r>
    </w:p>
    <w:p>
      <w:pPr>
        <w:pStyle w:val="ListParagraph"/>
        <w:numPr>
          <w:ilvl w:val="0"/>
          <w:numId w:val="2"/>
        </w:numPr>
        <w:spacing w:after="90" w:line="264"/>
      </w:pPr>
      <w:r>
        <w:rPr>
          <w:rFonts w:ascii="Georgia" w:cs="Georgia" w:eastAsia="Georgia" w:hAnsi="Georgia"/>
          <w:b/>
          <w:bCs/>
          <w:color w:val="1F2328"/>
          <w:sz w:val="21"/>
          <w:szCs w:val="21"/>
        </w:rPr>
        <w:t xml:space="preserve">Reference format.</w:t>
      </w:r>
      <w:r>
        <w:rPr>
          <w:rFonts w:ascii="Georgia" w:cs="Georgia" w:eastAsia="Georgia" w:hAnsi="Georgia"/>
          <w:color w:val="1F2328"/>
          <w:sz w:val="21"/>
          <w:szCs w:val="21"/>
        </w:rPr>
        <w:t xml:space="preserve"> Cross-references cite the document ID and section, never a page number, so references survive reissue.</w:t>
      </w:r>
    </w:p>
    <w:p>
      <w:pPr>
        <w:pStyle w:val="ListParagraph"/>
        <w:numPr>
          <w:ilvl w:val="0"/>
          <w:numId w:val="2"/>
        </w:numPr>
        <w:spacing w:after="90" w:line="264"/>
      </w:pPr>
      <w:r>
        <w:rPr>
          <w:rFonts w:ascii="Georgia" w:cs="Georgia" w:eastAsia="Georgia" w:hAnsi="Georgia"/>
          <w:b/>
          <w:bCs/>
          <w:color w:val="1F2328"/>
          <w:sz w:val="21"/>
          <w:szCs w:val="21"/>
        </w:rPr>
        <w:t xml:space="preserve">Change ripple.</w:t>
      </w:r>
      <w:r>
        <w:rPr>
          <w:rFonts w:ascii="Georgia" w:cs="Georgia" w:eastAsia="Georgia" w:hAnsi="Georgia"/>
          <w:color w:val="1F2328"/>
          <w:sz w:val="21"/>
          <w:szCs w:val="21"/>
        </w:rPr>
        <w:t xml:space="preserve"> The live register records inbound references for each document. When a document changes at major version, the Quality &amp; Compliance Manager notifies the owners of every referencing document within ten working days.</w:t>
      </w:r>
    </w:p>
    <w:p>
      <w:pPr>
        <w:pStyle w:val="Heading1"/>
        <w:pBdr>
          <w:bottom w:val="single" w:color="1E4B50" w:sz="6"/>
        </w:pBdr>
        <w:spacing w:after="200" w:before="420"/>
      </w:pPr>
      <w:r>
        <w:rPr>
          <w:rFonts w:ascii="Arial" w:cs="Arial" w:eastAsia="Arial" w:hAnsi="Arial"/>
          <w:b/>
          <w:bCs/>
          <w:color w:val="1E4B50"/>
          <w:sz w:val="30"/>
          <w:szCs w:val="30"/>
        </w:rPr>
        <w:t xml:space="preserve">12   </w:t>
      </w:r>
      <w:r>
        <w:rPr>
          <w:rFonts w:ascii="Arial" w:cs="Arial" w:eastAsia="Arial" w:hAnsi="Arial"/>
          <w:b/>
          <w:bCs/>
          <w:color w:val="1F2328"/>
          <w:sz w:val="30"/>
          <w:szCs w:val="30"/>
        </w:rPr>
        <w:t xml:space="preserve">Governance Map</w:t>
      </w:r>
    </w:p>
    <w:p>
      <w:pPr>
        <w:spacing w:after="160" w:line="276"/>
        <w:jc w:val="both"/>
      </w:pPr>
      <w:r>
        <w:rPr>
          <w:rFonts w:ascii="Georgia" w:cs="Georgia" w:eastAsia="Georgia" w:hAnsi="Georgia"/>
          <w:color w:val="1F2328"/>
          <w:sz w:val="21"/>
          <w:szCs w:val="21"/>
        </w:rPr>
        <w:t xml:space="preserve">The governance map connects the document library to the bodies that use it. Each governance body draws its mandate from a Tier 1 document, receives assurance through defined reports, and owns the review of a defined slice of the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cantSplit/>
          <w:tblHeader/>
        </w:trPr>
        <w:tc>
          <w:tcPr>
            <w:tcW w:type="dxa" w:w="2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Governance body</w:t>
            </w:r>
          </w:p>
        </w:tc>
        <w:tc>
          <w:tcPr>
            <w:tcW w:type="dxa" w:w="2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Mandate document</w:t>
            </w:r>
          </w:p>
        </w:tc>
        <w:tc>
          <w:tcPr>
            <w:tcW w:type="dxa" w:w="3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Library oversight</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PC-GOV-003 Board Charter</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Approves Tier 0–1; receives annual governance, risk, quality and patient-safety reports; approves this Specification.</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Management (direktion)</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PC-GOV-007</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Approves Tier 2; monthly oversight of KPIs (PC-QMS-007); commissions new documents.</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Patient Safety Committee</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 ToR</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Reviews clinical (CLIN) and quality (QMS) suites; oversees clinical audit, UTH trends and CAPA.</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Audit &amp; Compliance Committee</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 ToR</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Reviews GOV-008/009/010 in operation; oversees the audit programme and compliance obligations register.</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Group</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 ToR</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Reviews the IG suite; oversees GDPR compliance, breach response and the AI Usage Policy.</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Working Environment Organisation (AMO)</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PC-HSE-001</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Statutory consultation on the HSE suite; APV; workplace accident trends.</w:t>
            </w:r>
          </w:p>
        </w:tc>
      </w:tr>
    </w:tbl>
    <w:p>
      <w:pPr>
        <w:spacing w:after="80"/>
      </w:pPr>
    </w:p>
    <w:p>
      <w:pPr>
        <w:spacing w:after="160" w:line="276"/>
        <w:jc w:val="both"/>
      </w:pPr>
      <w:r>
        <w:rPr>
          <w:rFonts w:ascii="Georgia" w:cs="Georgia" w:eastAsia="Georgia" w:hAnsi="Georgia"/>
          <w:color w:val="1F2328"/>
          <w:sz w:val="21"/>
          <w:szCs w:val="21"/>
        </w:rPr>
        <w:t xml:space="preserve">Committee activation thresholds are set in Section 14. Until a committee is activated, its oversight duties are exercised by Executive Management with the relevant document owner, and this is minuted as such.</w:t>
      </w:r>
    </w:p>
    <w:p>
      <w:pPr>
        <w:pStyle w:val="Heading1"/>
        <w:pBdr>
          <w:bottom w:val="single" w:color="1E4B50" w:sz="6"/>
        </w:pBdr>
        <w:spacing w:after="200" w:before="420"/>
      </w:pPr>
      <w:r>
        <w:rPr>
          <w:rFonts w:ascii="Arial" w:cs="Arial" w:eastAsia="Arial" w:hAnsi="Arial"/>
          <w:b/>
          <w:bCs/>
          <w:color w:val="1E4B50"/>
          <w:sz w:val="30"/>
          <w:szCs w:val="30"/>
        </w:rPr>
        <w:t xml:space="preserve">13   </w:t>
      </w:r>
      <w:r>
        <w:rPr>
          <w:rFonts w:ascii="Arial" w:cs="Arial" w:eastAsia="Arial" w:hAnsi="Arial"/>
          <w:b/>
          <w:bCs/>
          <w:color w:val="1F2328"/>
          <w:sz w:val="30"/>
          <w:szCs w:val="30"/>
        </w:rPr>
        <w:t xml:space="preserve">Organisational and Reporting Structure</w:t>
      </w:r>
    </w:p>
    <w:p>
      <w:pPr>
        <w:spacing w:after="160" w:line="276"/>
        <w:jc w:val="both"/>
      </w:pPr>
      <w:r>
        <w:rPr>
          <w:rFonts w:ascii="Georgia" w:cs="Georgia" w:eastAsia="Georgia" w:hAnsi="Georgia"/>
          <w:color w:val="1F2328"/>
          <w:sz w:val="21"/>
          <w:szCs w:val="21"/>
        </w:rPr>
        <w:t xml:space="preserve">The founding structure is deliberately flat, with governance accountabilities defined by role so the same architecture scales to multi-site operation without redesign.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cantSplit/>
          <w:tblHeader/>
        </w:trPr>
        <w:tc>
          <w:tcPr>
            <w:tcW w:type="dxa" w:w="2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Role</w:t>
            </w:r>
          </w:p>
        </w:tc>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Reports to</w:t>
            </w:r>
          </w:p>
        </w:tc>
        <w:tc>
          <w:tcPr>
            <w:tcW w:type="dxa" w:w="31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Direct governance reports</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Shareholders (general meeting)</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All function leads below</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coordinators; registered clinical staff (professional line)</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teams (operational line); planners</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Manager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(independent reporting right to the Board on compliance matters)</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Lead</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(direct access to the Board on data-protection matters)</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Lead</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AMO representatives</w:t>
            </w:r>
          </w:p>
        </w:tc>
      </w:tr>
    </w:tbl>
    <w:p>
      <w:pPr>
        <w:spacing w:after="80"/>
      </w:pPr>
    </w:p>
    <w:p>
      <w:pPr>
        <w:pStyle w:val="ListParagraph"/>
        <w:numPr>
          <w:ilvl w:val="0"/>
          <w:numId w:val="2"/>
        </w:numPr>
        <w:spacing w:after="90" w:line="264"/>
      </w:pPr>
      <w:r>
        <w:rPr>
          <w:rFonts w:ascii="Georgia" w:cs="Georgia" w:eastAsia="Georgia" w:hAnsi="Georgia"/>
          <w:b/>
          <w:bCs/>
          <w:color w:val="1F2328"/>
          <w:sz w:val="21"/>
          <w:szCs w:val="21"/>
        </w:rPr>
        <w:t xml:space="preserve">Dual accountability in care delivery.</w:t>
      </w:r>
      <w:r>
        <w:rPr>
          <w:rFonts w:ascii="Georgia" w:cs="Georgia" w:eastAsia="Georgia" w:hAnsi="Georgia"/>
          <w:color w:val="1F2328"/>
          <w:sz w:val="21"/>
          <w:szCs w:val="21"/>
        </w:rPr>
        <w:t xml:space="preserve"> Care staff report operationally to the Operations Manager and professionally, for delegated healthcare tasks, to the Head of Clinical Services. Both lines are documented in the Clinical Governance Manual and the Competency Framework.</w:t>
      </w:r>
    </w:p>
    <w:p>
      <w:pPr>
        <w:pStyle w:val="ListParagraph"/>
        <w:numPr>
          <w:ilvl w:val="0"/>
          <w:numId w:val="2"/>
        </w:numPr>
        <w:spacing w:after="90" w:line="264"/>
      </w:pPr>
      <w:r>
        <w:rPr>
          <w:rFonts w:ascii="Georgia" w:cs="Georgia" w:eastAsia="Georgia" w:hAnsi="Georgia"/>
          <w:b/>
          <w:bCs/>
          <w:color w:val="1F2328"/>
          <w:sz w:val="21"/>
          <w:szCs w:val="21"/>
        </w:rPr>
        <w:t xml:space="preserve">Independence safeguards.</w:t>
      </w:r>
      <w:r>
        <w:rPr>
          <w:rFonts w:ascii="Georgia" w:cs="Georgia" w:eastAsia="Georgia" w:hAnsi="Georgia"/>
          <w:color w:val="1F2328"/>
          <w:sz w:val="21"/>
          <w:szCs w:val="21"/>
        </w:rPr>
        <w:t xml:space="preserve"> The Quality &amp; Compliance Manager and the Information Governance Lead hold a protected right of direct report to the Board, exercised through the Risk, Audit &amp; Compliance Committee once activated.</w:t>
      </w:r>
    </w:p>
    <w:p>
      <w:pPr>
        <w:pStyle w:val="ListParagraph"/>
        <w:numPr>
          <w:ilvl w:val="0"/>
          <w:numId w:val="2"/>
        </w:numPr>
        <w:spacing w:after="90" w:line="264"/>
      </w:pPr>
      <w:r>
        <w:rPr>
          <w:rFonts w:ascii="Georgia" w:cs="Georgia" w:eastAsia="Georgia" w:hAnsi="Georgia"/>
          <w:b/>
          <w:bCs/>
          <w:color w:val="1F2328"/>
          <w:sz w:val="21"/>
          <w:szCs w:val="21"/>
        </w:rPr>
        <w:t xml:space="preserve">Multi-site scaling.</w:t>
      </w:r>
      <w:r>
        <w:rPr>
          <w:rFonts w:ascii="Georgia" w:cs="Georgia" w:eastAsia="Georgia" w:hAnsi="Georgia"/>
          <w:color w:val="1F2328"/>
          <w:sz w:val="21"/>
          <w:szCs w:val="21"/>
        </w:rPr>
        <w:t xml:space="preserve"> On opening a second site, each site receives a Site Manager reporting to the Operations Manager; governance documents remain single and national, with site-specific detail confined to Tier 3–4 instruments.</w:t>
      </w:r>
    </w:p>
    <w:p>
      <w:pPr>
        <w:pStyle w:val="Heading1"/>
        <w:pBdr>
          <w:bottom w:val="single" w:color="1E4B50" w:sz="6"/>
        </w:pBdr>
        <w:spacing w:after="200" w:before="420"/>
      </w:pPr>
      <w:r>
        <w:rPr>
          <w:rFonts w:ascii="Arial" w:cs="Arial" w:eastAsia="Arial" w:hAnsi="Arial"/>
          <w:b/>
          <w:bCs/>
          <w:color w:val="1E4B50"/>
          <w:sz w:val="30"/>
          <w:szCs w:val="30"/>
        </w:rPr>
        <w:t xml:space="preserve">14   </w:t>
      </w:r>
      <w:r>
        <w:rPr>
          <w:rFonts w:ascii="Arial" w:cs="Arial" w:eastAsia="Arial" w:hAnsi="Arial"/>
          <w:b/>
          <w:bCs/>
          <w:color w:val="1F2328"/>
          <w:sz w:val="30"/>
          <w:szCs w:val="30"/>
        </w:rPr>
        <w:t xml:space="preserve">Committee Structure</w:t>
      </w:r>
    </w:p>
    <w:p>
      <w:pPr>
        <w:spacing w:after="160" w:line="276"/>
        <w:jc w:val="both"/>
      </w:pPr>
      <w:r>
        <w:rPr>
          <w:rFonts w:ascii="Georgia" w:cs="Georgia" w:eastAsia="Georgia" w:hAnsi="Georgia"/>
          <w:color w:val="1F2328"/>
          <w:sz w:val="21"/>
          <w:szCs w:val="21"/>
        </w:rPr>
        <w:t xml:space="preserve">Committees are established by the Board under PC-GOV-004. To keep governance proportionate, each committee activates at a defined threshold; before activation its duties sit with Executive Management (Section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900"/>
        <w:gridCol w:w="2626"/>
      </w:tblGrid>
      <w:tr>
        <w:trPr>
          <w:cantSplit/>
          <w:tblHeader/>
        </w:trPr>
        <w:tc>
          <w:tcPr>
            <w:tcW w:type="dxa" w:w="2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Committee</w:t>
            </w:r>
          </w:p>
        </w:tc>
        <w:tc>
          <w:tcPr>
            <w:tcW w:type="dxa" w:w="2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Chair</w:t>
            </w:r>
          </w:p>
        </w:tc>
        <w:tc>
          <w:tcPr>
            <w:tcW w:type="dxa" w:w="1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Meets</w:t>
            </w:r>
          </w:p>
        </w:tc>
        <w:tc>
          <w:tcPr>
            <w:tcW w:type="dxa" w:w="26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Activation threshold</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Patient Safety</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Quarterly</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From commencement of care delivery</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Audit &amp; Compliance</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Non-executive board member</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Quarterly</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2 municipal contracts or ≥ 25 staff</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Group</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Quarterly</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From commencement of care delivery</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AMO (statutory)</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Employer representative</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statute</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10 employees (arbejdsmiljøloven)</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Remuneration &amp; People (Board)</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Chair</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50 staff or Board resolution</w:t>
            </w:r>
          </w:p>
        </w:tc>
      </w:tr>
    </w:tbl>
    <w:p>
      <w:pPr>
        <w:spacing w:after="80"/>
      </w:pPr>
    </w:p>
    <w:p>
      <w:pPr>
        <w:spacing w:after="160" w:line="276"/>
        <w:jc w:val="both"/>
      </w:pPr>
      <w:r>
        <w:rPr>
          <w:rFonts w:ascii="Georgia" w:cs="Georgia" w:eastAsia="Georgia" w:hAnsi="Georgia"/>
          <w:color w:val="1F2328"/>
          <w:sz w:val="21"/>
          <w:szCs w:val="21"/>
        </w:rPr>
        <w:t xml:space="preserve">Each committee's terms of reference in PC-GOV-004 define composition, quorum, standing agenda, reporting line and its slice of the document library. Minutes are controlled records under PC-QMS-009.</w:t>
      </w:r>
    </w:p>
    <w:p>
      <w:pPr>
        <w:pStyle w:val="Heading1"/>
        <w:pBdr>
          <w:bottom w:val="single" w:color="1E4B50" w:sz="6"/>
        </w:pBdr>
        <w:spacing w:after="200" w:before="420"/>
      </w:pPr>
      <w:r>
        <w:rPr>
          <w:rFonts w:ascii="Arial" w:cs="Arial" w:eastAsia="Arial" w:hAnsi="Arial"/>
          <w:b/>
          <w:bCs/>
          <w:color w:val="1E4B50"/>
          <w:sz w:val="30"/>
          <w:szCs w:val="30"/>
        </w:rPr>
        <w:t xml:space="preserve">15   </w:t>
      </w:r>
      <w:r>
        <w:rPr>
          <w:rFonts w:ascii="Arial" w:cs="Arial" w:eastAsia="Arial" w:hAnsi="Arial"/>
          <w:b/>
          <w:bCs/>
          <w:color w:val="1F2328"/>
          <w:sz w:val="30"/>
          <w:szCs w:val="30"/>
        </w:rPr>
        <w:t xml:space="preserve">Document Control Process</w:t>
      </w:r>
    </w:p>
    <w:p>
      <w:pPr>
        <w:pStyle w:val="Heading2"/>
        <w:spacing w:after="140" w:before="300"/>
      </w:pPr>
      <w:r>
        <w:rPr>
          <w:rFonts w:ascii="Arial" w:cs="Arial" w:eastAsia="Arial" w:hAnsi="Arial"/>
          <w:b/>
          <w:bCs/>
          <w:color w:val="1E4B50"/>
          <w:sz w:val="24"/>
          <w:szCs w:val="24"/>
        </w:rPr>
        <w:t xml:space="preserve">15.1   </w:t>
      </w:r>
      <w:r>
        <w:rPr>
          <w:rFonts w:ascii="Arial" w:cs="Arial" w:eastAsia="Arial" w:hAnsi="Arial"/>
          <w:b/>
          <w:bCs/>
          <w:color w:val="1F2328"/>
          <w:sz w:val="24"/>
          <w:szCs w:val="24"/>
        </w:rPr>
        <w:t xml:space="preserve">Lifecycle</w:t>
      </w:r>
    </w:p>
    <w:p>
      <w:pPr>
        <w:spacing w:after="160" w:line="276"/>
        <w:jc w:val="both"/>
      </w:pPr>
      <w:r>
        <w:rPr>
          <w:rFonts w:ascii="Georgia" w:cs="Georgia" w:eastAsia="Georgia" w:hAnsi="Georgia"/>
          <w:color w:val="1F2328"/>
          <w:sz w:val="21"/>
          <w:szCs w:val="21"/>
        </w:rPr>
        <w:t xml:space="preserve">Every controlled document passes through eight stages: </w:t>
      </w:r>
      <w:r>
        <w:rPr>
          <w:rFonts w:ascii="Georgia" w:cs="Georgia" w:eastAsia="Georgia" w:hAnsi="Georgia"/>
          <w:b/>
          <w:bCs/>
          <w:color w:val="1F2328"/>
          <w:sz w:val="21"/>
          <w:szCs w:val="21"/>
        </w:rPr>
        <w:t xml:space="preserve">Commission → Draft → Consultation → Approval → Publication → In force → Review → Revision or Retirement.</w:t>
      </w:r>
      <w:r>
        <w:rPr>
          <w:rFonts w:ascii="Georgia" w:cs="Georgia" w:eastAsia="Georgia" w:hAnsi="Georgia"/>
          <w:color w:val="1F2328"/>
          <w:sz w:val="21"/>
          <w:szCs w:val="21"/>
        </w:rPr>
        <w:t xml:space="preserve"> The Quality &amp; Compliance Manager operates the process; the Document Control Manual (PC-QMS-008) will carry the detailed procedure and will conform to this section.</w:t>
      </w:r>
    </w:p>
    <w:p>
      <w:pPr>
        <w:pStyle w:val="ListParagraph"/>
        <w:numPr>
          <w:ilvl w:val="0"/>
          <w:numId w:val="2"/>
        </w:numPr>
        <w:spacing w:after="90" w:line="264"/>
      </w:pPr>
      <w:r>
        <w:rPr>
          <w:rFonts w:ascii="Georgia" w:cs="Georgia" w:eastAsia="Georgia" w:hAnsi="Georgia"/>
          <w:b/>
          <w:bCs/>
          <w:color w:val="1F2328"/>
          <w:sz w:val="21"/>
          <w:szCs w:val="21"/>
        </w:rPr>
        <w:t xml:space="preserve">Commission.</w:t>
      </w:r>
      <w:r>
        <w:rPr>
          <w:rFonts w:ascii="Georgia" w:cs="Georgia" w:eastAsia="Georgia" w:hAnsi="Georgia"/>
          <w:color w:val="1F2328"/>
          <w:sz w:val="21"/>
          <w:szCs w:val="21"/>
        </w:rPr>
        <w:t xml:space="preserve"> Executive Management commissions the document against the register entry (owner, tier, approval authority already fixed by this Specification).</w:t>
      </w:r>
    </w:p>
    <w:p>
      <w:pPr>
        <w:pStyle w:val="ListParagraph"/>
        <w:numPr>
          <w:ilvl w:val="0"/>
          <w:numId w:val="2"/>
        </w:numPr>
        <w:spacing w:after="90" w:line="264"/>
      </w:pPr>
      <w:r>
        <w:rPr>
          <w:rFonts w:ascii="Georgia" w:cs="Georgia" w:eastAsia="Georgia" w:hAnsi="Georgia"/>
          <w:b/>
          <w:bCs/>
          <w:color w:val="1F2328"/>
          <w:sz w:val="21"/>
          <w:szCs w:val="21"/>
        </w:rPr>
        <w:t xml:space="preserve">Draft and consultation.</w:t>
      </w:r>
      <w:r>
        <w:rPr>
          <w:rFonts w:ascii="Georgia" w:cs="Georgia" w:eastAsia="Georgia" w:hAnsi="Georgia"/>
          <w:color w:val="1F2328"/>
          <w:sz w:val="21"/>
          <w:szCs w:val="21"/>
        </w:rPr>
        <w:t xml:space="preserve"> The owner drafts to the standard structure (15.4) and consults every owner of a referenced or referencing document, plus the AMO where the working environment is affected.</w:t>
      </w:r>
    </w:p>
    <w:p>
      <w:pPr>
        <w:pStyle w:val="ListParagraph"/>
        <w:numPr>
          <w:ilvl w:val="0"/>
          <w:numId w:val="2"/>
        </w:numPr>
        <w:spacing w:after="90" w:line="264"/>
      </w:pPr>
      <w:r>
        <w:rPr>
          <w:rFonts w:ascii="Georgia" w:cs="Georgia" w:eastAsia="Georgia" w:hAnsi="Georgia"/>
          <w:b/>
          <w:bCs/>
          <w:color w:val="1F2328"/>
          <w:sz w:val="21"/>
          <w:szCs w:val="21"/>
        </w:rPr>
        <w:t xml:space="preserve">Approval.</w:t>
      </w:r>
      <w:r>
        <w:rPr>
          <w:rFonts w:ascii="Georgia" w:cs="Georgia" w:eastAsia="Georgia" w:hAnsi="Georgia"/>
          <w:color w:val="1F2328"/>
          <w:sz w:val="21"/>
          <w:szCs w:val="21"/>
        </w:rPr>
        <w:t xml:space="preserve"> Per Section 8.2, recorded by signature or minuted resolution.</w:t>
      </w:r>
    </w:p>
    <w:p>
      <w:pPr>
        <w:pStyle w:val="ListParagraph"/>
        <w:numPr>
          <w:ilvl w:val="0"/>
          <w:numId w:val="2"/>
        </w:numPr>
        <w:spacing w:after="90" w:line="264"/>
      </w:pPr>
      <w:r>
        <w:rPr>
          <w:rFonts w:ascii="Georgia" w:cs="Georgia" w:eastAsia="Georgia" w:hAnsi="Georgia"/>
          <w:b/>
          <w:bCs/>
          <w:color w:val="1F2328"/>
          <w:sz w:val="21"/>
          <w:szCs w:val="21"/>
        </w:rPr>
        <w:t xml:space="preserve">Publication.</w:t>
      </w:r>
      <w:r>
        <w:rPr>
          <w:rFonts w:ascii="Georgia" w:cs="Georgia" w:eastAsia="Georgia" w:hAnsi="Georgia"/>
          <w:color w:val="1F2328"/>
          <w:sz w:val="21"/>
          <w:szCs w:val="21"/>
        </w:rPr>
        <w:t xml:space="preserve"> Single point of publication in the controlled repository; the live register is updated; staff are notified through the channel defined in PC-QMS-008; superseded versions are archived.</w:t>
      </w:r>
    </w:p>
    <w:p>
      <w:pPr>
        <w:pStyle w:val="ListParagraph"/>
        <w:numPr>
          <w:ilvl w:val="0"/>
          <w:numId w:val="2"/>
        </w:numPr>
        <w:spacing w:after="90" w:line="264"/>
      </w:pPr>
      <w:r>
        <w:rPr>
          <w:rFonts w:ascii="Georgia" w:cs="Georgia" w:eastAsia="Georgia" w:hAnsi="Georgia"/>
          <w:b/>
          <w:bCs/>
          <w:color w:val="1F2328"/>
          <w:sz w:val="21"/>
          <w:szCs w:val="21"/>
        </w:rPr>
        <w:t xml:space="preserve">Review.</w:t>
      </w:r>
      <w:r>
        <w:rPr>
          <w:rFonts w:ascii="Georgia" w:cs="Georgia" w:eastAsia="Georgia" w:hAnsi="Georgia"/>
          <w:color w:val="1F2328"/>
          <w:sz w:val="21"/>
          <w:szCs w:val="21"/>
        </w:rPr>
        <w:t xml:space="preserve"> Per Section 8.3, with an outcome of reconfirm, revise or retire, recorded in the register.</w:t>
      </w:r>
    </w:p>
    <w:p>
      <w:pPr>
        <w:pStyle w:val="ListParagraph"/>
        <w:numPr>
          <w:ilvl w:val="0"/>
          <w:numId w:val="2"/>
        </w:numPr>
        <w:spacing w:after="90" w:line="264"/>
      </w:pPr>
      <w:r>
        <w:rPr>
          <w:rFonts w:ascii="Georgia" w:cs="Georgia" w:eastAsia="Georgia" w:hAnsi="Georgia"/>
          <w:b/>
          <w:bCs/>
          <w:color w:val="1F2328"/>
          <w:sz w:val="21"/>
          <w:szCs w:val="21"/>
        </w:rPr>
        <w:t xml:space="preserve">Retirement.</w:t>
      </w:r>
      <w:r>
        <w:rPr>
          <w:rFonts w:ascii="Georgia" w:cs="Georgia" w:eastAsia="Georgia" w:hAnsi="Georgia"/>
          <w:color w:val="1F2328"/>
          <w:sz w:val="21"/>
          <w:szCs w:val="21"/>
        </w:rPr>
        <w:t xml:space="preserve"> Retired documents keep their identifier, are archived, and every referencing document is corrected.</w:t>
      </w:r>
    </w:p>
    <w:p>
      <w:pPr>
        <w:pStyle w:val="Heading2"/>
        <w:spacing w:after="140" w:before="300"/>
      </w:pPr>
      <w:r>
        <w:rPr>
          <w:rFonts w:ascii="Arial" w:cs="Arial" w:eastAsia="Arial" w:hAnsi="Arial"/>
          <w:b/>
          <w:bCs/>
          <w:color w:val="1E4B50"/>
          <w:sz w:val="24"/>
          <w:szCs w:val="24"/>
        </w:rPr>
        <w:t xml:space="preserve">15.2   </w:t>
      </w:r>
      <w:r>
        <w:rPr>
          <w:rFonts w:ascii="Arial" w:cs="Arial" w:eastAsia="Arial" w:hAnsi="Arial"/>
          <w:b/>
          <w:bCs/>
          <w:color w:val="1F2328"/>
          <w:sz w:val="24"/>
          <w:szCs w:val="24"/>
        </w:rPr>
        <w:t xml:space="preserve">Change triggers outside cycle</w:t>
      </w:r>
    </w:p>
    <w:p>
      <w:pPr>
        <w:spacing w:after="160" w:line="276"/>
        <w:jc w:val="both"/>
      </w:pPr>
      <w:r>
        <w:rPr>
          <w:rFonts w:ascii="Georgia" w:cs="Georgia" w:eastAsia="Georgia" w:hAnsi="Georgia"/>
          <w:color w:val="1F2328"/>
          <w:sz w:val="21"/>
          <w:szCs w:val="21"/>
        </w:rPr>
        <w:t xml:space="preserve">Immediate review is triggered by: legislative or regulatory change; a serious incident or safeguarding finding; an audit or inspection finding; municipal contractual change; organisational restructuring; or the identification of a conflict between documents.</w:t>
      </w:r>
    </w:p>
    <w:p>
      <w:pPr>
        <w:pStyle w:val="Heading2"/>
        <w:spacing w:after="140" w:before="300"/>
      </w:pPr>
      <w:r>
        <w:rPr>
          <w:rFonts w:ascii="Arial" w:cs="Arial" w:eastAsia="Arial" w:hAnsi="Arial"/>
          <w:b/>
          <w:bCs/>
          <w:color w:val="1E4B50"/>
          <w:sz w:val="24"/>
          <w:szCs w:val="24"/>
        </w:rPr>
        <w:t xml:space="preserve">15.3   </w:t>
      </w:r>
      <w:r>
        <w:rPr>
          <w:rFonts w:ascii="Arial" w:cs="Arial" w:eastAsia="Arial" w:hAnsi="Arial"/>
          <w:b/>
          <w:bCs/>
          <w:color w:val="1F2328"/>
          <w:sz w:val="24"/>
          <w:szCs w:val="24"/>
        </w:rPr>
        <w:t xml:space="preserve">Training and acknowledgement</w:t>
      </w:r>
    </w:p>
    <w:p>
      <w:pPr>
        <w:spacing w:after="160" w:line="276"/>
        <w:jc w:val="both"/>
      </w:pPr>
      <w:r>
        <w:rPr>
          <w:rFonts w:ascii="Georgia" w:cs="Georgia" w:eastAsia="Georgia" w:hAnsi="Georgia"/>
          <w:color w:val="1F2328"/>
          <w:sz w:val="21"/>
          <w:szCs w:val="21"/>
        </w:rPr>
        <w:t xml:space="preserve">Publication of a new or materially revised Tier 2 document affecting staff duties triggers briefing or training under the Learning &amp; Development Manual, and acknowledgement is recorded in the training register (PC-OPS-REG series).</w:t>
      </w:r>
    </w:p>
    <w:p>
      <w:pPr>
        <w:pStyle w:val="Heading2"/>
        <w:spacing w:after="140" w:before="300"/>
      </w:pPr>
      <w:r>
        <w:rPr>
          <w:rFonts w:ascii="Arial" w:cs="Arial" w:eastAsia="Arial" w:hAnsi="Arial"/>
          <w:b/>
          <w:bCs/>
          <w:color w:val="1E4B50"/>
          <w:sz w:val="24"/>
          <w:szCs w:val="24"/>
        </w:rPr>
        <w:t xml:space="preserve">15.4   </w:t>
      </w:r>
      <w:r>
        <w:rPr>
          <w:rFonts w:ascii="Arial" w:cs="Arial" w:eastAsia="Arial" w:hAnsi="Arial"/>
          <w:b/>
          <w:bCs/>
          <w:color w:val="1F2328"/>
          <w:sz w:val="24"/>
          <w:szCs w:val="24"/>
        </w:rPr>
        <w:t xml:space="preserve">Standard document structure</w:t>
      </w:r>
    </w:p>
    <w:p>
      <w:pPr>
        <w:spacing w:after="160" w:line="276"/>
        <w:jc w:val="both"/>
      </w:pPr>
      <w:r>
        <w:rPr>
          <w:rFonts w:ascii="Georgia" w:cs="Georgia" w:eastAsia="Georgia" w:hAnsi="Georgia"/>
          <w:color w:val="1F2328"/>
          <w:sz w:val="21"/>
          <w:szCs w:val="21"/>
        </w:rPr>
        <w:t xml:space="preserve">Every manual in the library contains, in order: Purpose; Scope; Definitions; Legal &amp; Regulatory Framework; Responsibilities; Policy Statement; Procedures; Roles; Governance; Monitoring; Audit; KPIs; Related Documents; Forms; References; Document Control; Version History. Frameworks, policies, SOPs and forms use a proportionate subset defined in PC-QMS-008, always including Purpose, Scope, Responsibilities, Related Documents and Document Control.</w:t>
      </w:r>
    </w:p>
    <w:p>
      <w:pPr>
        <w:pStyle w:val="Heading1"/>
        <w:pBdr>
          <w:bottom w:val="single" w:color="1E4B50" w:sz="6"/>
        </w:pBdr>
        <w:spacing w:after="200" w:before="420"/>
      </w:pPr>
      <w:r>
        <w:rPr>
          <w:rFonts w:ascii="Arial" w:cs="Arial" w:eastAsia="Arial" w:hAnsi="Arial"/>
          <w:b/>
          <w:bCs/>
          <w:color w:val="1E4B50"/>
          <w:sz w:val="30"/>
          <w:szCs w:val="30"/>
        </w:rPr>
        <w:t xml:space="preserve">16   </w:t>
      </w:r>
      <w:r>
        <w:rPr>
          <w:rFonts w:ascii="Arial" w:cs="Arial" w:eastAsia="Arial" w:hAnsi="Arial"/>
          <w:b/>
          <w:bCs/>
          <w:color w:val="1F2328"/>
          <w:sz w:val="30"/>
          <w:szCs w:val="30"/>
        </w:rPr>
        <w:t xml:space="preserve">Integration of Existing Documentation</w:t>
      </w:r>
    </w:p>
    <w:p>
      <w:pPr>
        <w:spacing w:after="160" w:line="276"/>
        <w:jc w:val="both"/>
      </w:pPr>
      <w:r>
        <w:rPr>
          <w:rFonts w:ascii="Georgia" w:cs="Georgia" w:eastAsia="Georgia" w:hAnsi="Georgia"/>
          <w:color w:val="1F2328"/>
          <w:sz w:val="21"/>
          <w:szCs w:val="21"/>
        </w:rPr>
        <w:t xml:space="preserve">One document predates this architecture: the </w:t>
      </w:r>
      <w:r>
        <w:rPr>
          <w:rFonts w:ascii="Georgia" w:cs="Georgia" w:eastAsia="Georgia" w:hAnsi="Georgia"/>
          <w:b/>
          <w:bCs/>
          <w:color w:val="1F2328"/>
          <w:sz w:val="21"/>
          <w:szCs w:val="21"/>
        </w:rPr>
        <w:t xml:space="preserve">Employee Handbook, English translation, Chapters 1–11</w:t>
      </w:r>
      <w:r>
        <w:rPr>
          <w:rFonts w:ascii="Georgia" w:cs="Georgia" w:eastAsia="Georgia" w:hAnsi="Georgia"/>
          <w:color w:val="1F2328"/>
          <w:sz w:val="21"/>
          <w:szCs w:val="21"/>
        </w:rPr>
        <w:t xml:space="preserve">. The current file is a structural skeleton — the chapter framework is fixed, but the translated body text must be regenerated from the Danish source before PC-HR-001 can be issued at v1.0. Its chapter structure is adopted and mapped to the library as follows; each chapter will summarise and cite its authoritative source under the single-source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0"/>
        <w:gridCol w:w="2400"/>
        <w:gridCol w:w="3076"/>
      </w:tblGrid>
      <w:tr>
        <w:trPr>
          <w:cantSplit/>
          <w:tblHeader/>
        </w:trPr>
        <w:tc>
          <w:tcPr>
            <w:tcW w:type="dxa" w:w="35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Handbook chapter</w:t>
            </w:r>
          </w:p>
        </w:tc>
        <w:tc>
          <w:tcPr>
            <w:tcW w:type="dxa" w:w="2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Authoritative source</w:t>
            </w:r>
          </w:p>
        </w:tc>
        <w:tc>
          <w:tcPr>
            <w:tcW w:type="dxa" w:w="30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Notes</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Welcome to Premium Care ApS</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Values and philosophy per Section 5.</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Employment Relationship</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Employment Terms Act particulars remain in contracts.</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Working Hours, Rostering &amp; Flexibility</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Working time rules; collective agreement interface.</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 Corporate Philosophy</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 / 002</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Summary only.</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 Our Core Values</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Mirrors Section 5 values verbatim by design.</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Code of Conduct</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 with PC-CLIN-010</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Professional conduct for clinical staff sits in CLIN-010.</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7. Leadership Framework</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PC-HR-004</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Signpost only in the employee edition.</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 Premium Care Standard</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PC-QMS-001 / 002</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service standard summarised for staff.</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 Quality and Patient Safety</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PC-CLIN-002 / PC-CLIN-008</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duty to report stated with reference, not restated.</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 Documentation &amp; Professional Communication</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Record-keeping order obligations.</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11. Medication Management &amp; Delegation</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limits cited from the manual only.</w:t>
            </w:r>
          </w:p>
        </w:tc>
      </w:tr>
    </w:tbl>
    <w:p>
      <w:pPr>
        <w:spacing w:after="80"/>
      </w:pPr>
    </w:p>
    <w:p>
      <w:pPr>
        <w:spacing w:after="160" w:line="276"/>
        <w:jc w:val="both"/>
      </w:pPr>
      <w:r>
        <w:rPr>
          <w:rFonts w:ascii="Georgia" w:cs="Georgia" w:eastAsia="Georgia" w:hAnsi="Georgia"/>
          <w:color w:val="1F2328"/>
          <w:sz w:val="21"/>
          <w:szCs w:val="21"/>
        </w:rPr>
        <w:t xml:space="preserve">Remaining chapters (12 onwards, once translated) will be mapped by the HR Manager and added to this table at the next revision of this Specification. Until PC-HR-001 v1.0 issues, the skeleton is registered as v0.1 (draft) and confers no authority.</w:t>
      </w:r>
    </w:p>
    <w:p>
      <w:pPr>
        <w:pStyle w:val="Heading1"/>
        <w:pBdr>
          <w:bottom w:val="single" w:color="1E4B50" w:sz="6"/>
        </w:pBdr>
        <w:spacing w:after="200" w:before="420"/>
      </w:pPr>
      <w:r>
        <w:rPr>
          <w:rFonts w:ascii="Arial" w:cs="Arial" w:eastAsia="Arial" w:hAnsi="Arial"/>
          <w:b/>
          <w:bCs/>
          <w:color w:val="1E4B50"/>
          <w:sz w:val="30"/>
          <w:szCs w:val="30"/>
        </w:rPr>
        <w:t xml:space="preserve">17   </w:t>
      </w:r>
      <w:r>
        <w:rPr>
          <w:rFonts w:ascii="Arial" w:cs="Arial" w:eastAsia="Arial" w:hAnsi="Arial"/>
          <w:b/>
          <w:bCs/>
          <w:color w:val="1F2328"/>
          <w:sz w:val="30"/>
          <w:szCs w:val="30"/>
        </w:rPr>
        <w:t xml:space="preserve">Production Phasing and Approval Gate</w:t>
      </w:r>
    </w:p>
    <w:p>
      <w:pPr>
        <w:pStyle w:val="Heading2"/>
        <w:spacing w:after="140" w:before="300"/>
      </w:pPr>
      <w:r>
        <w:rPr>
          <w:rFonts w:ascii="Arial" w:cs="Arial" w:eastAsia="Arial" w:hAnsi="Arial"/>
          <w:b/>
          <w:bCs/>
          <w:color w:val="1E4B50"/>
          <w:sz w:val="24"/>
          <w:szCs w:val="24"/>
        </w:rPr>
        <w:t xml:space="preserve">17.1   </w:t>
      </w:r>
      <w:r>
        <w:rPr>
          <w:rFonts w:ascii="Arial" w:cs="Arial" w:eastAsia="Arial" w:hAnsi="Arial"/>
          <w:b/>
          <w:bCs/>
          <w:color w:val="1F2328"/>
          <w:sz w:val="24"/>
          <w:szCs w:val="24"/>
        </w:rPr>
        <w:t xml:space="preserve">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426"/>
      </w:tblGrid>
      <w:tr>
        <w:trPr>
          <w:cantSplit/>
          <w:tblHeader/>
        </w:trPr>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Phase</w:t>
            </w:r>
          </w:p>
        </w:tc>
        <w:tc>
          <w:tcPr>
            <w:tcW w:type="dxa" w:w="5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Deliverables</w:t>
            </w:r>
          </w:p>
        </w:tc>
        <w:tc>
          <w:tcPr>
            <w:tcW w:type="dxa" w:w="24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Gate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This Governance Architecture Specification</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approval — mandatory before any drafting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 suite (PC-GOV-001 … 010)</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approval</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suite (PC-HR-001 … 011), incl. regeneration of the Employee Handbook from the Danish source</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 approval; Board for HR-011</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governance suite (PC-CLIN-001 … 010)</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 approval with clinical endorsement; Board for CLIN-002</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suite (PC-QMS-001 … 009)</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for QMS-001; MD otherwise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suite (PC-IG-001 … 011)</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for IG-010; MD otherwise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7</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suite (PC-HSE-001 … 009), with AMO consultation where constituted</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 approval</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SOP library and Level 7 instruments</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Section 8.2</w:t>
            </w:r>
          </w:p>
        </w:tc>
      </w:tr>
    </w:tbl>
    <w:p>
      <w:pPr>
        <w:spacing w:after="80"/>
      </w:pPr>
    </w:p>
    <w:p>
      <w:pPr>
        <w:pStyle w:val="Heading2"/>
        <w:spacing w:after="140" w:before="300"/>
      </w:pPr>
      <w:r>
        <w:rPr>
          <w:rFonts w:ascii="Arial" w:cs="Arial" w:eastAsia="Arial" w:hAnsi="Arial"/>
          <w:b/>
          <w:bCs/>
          <w:color w:val="1E4B50"/>
          <w:sz w:val="24"/>
          <w:szCs w:val="24"/>
        </w:rPr>
        <w:t xml:space="preserve">17.2   </w:t>
      </w:r>
      <w:r>
        <w:rPr>
          <w:rFonts w:ascii="Arial" w:cs="Arial" w:eastAsia="Arial" w:hAnsi="Arial"/>
          <w:b/>
          <w:bCs/>
          <w:color w:val="1F2328"/>
          <w:sz w:val="24"/>
          <w:szCs w:val="24"/>
        </w:rPr>
        <w:t xml:space="preserve">Rules of production</w:t>
      </w:r>
    </w:p>
    <w:p>
      <w:pPr>
        <w:pStyle w:val="ListParagraph"/>
        <w:numPr>
          <w:ilvl w:val="0"/>
          <w:numId w:val="2"/>
        </w:numPr>
        <w:spacing w:after="90" w:line="264"/>
      </w:pPr>
      <w:r>
        <w:rPr>
          <w:rFonts w:ascii="Georgia" w:cs="Georgia" w:eastAsia="Georgia" w:hAnsi="Georgia"/>
          <w:b/>
          <w:bCs/>
          <w:color w:val="1F2328"/>
          <w:sz w:val="21"/>
          <w:szCs w:val="21"/>
        </w:rPr>
        <w:t xml:space="preserve">Nothing is drafted before this Specification is approved</w:t>
      </w:r>
      <w:r>
        <w:rPr>
          <w:rFonts w:ascii="Georgia" w:cs="Georgia" w:eastAsia="Georgia" w:hAnsi="Georgia"/>
          <w:color w:val="1F2328"/>
          <w:sz w:val="21"/>
          <w:szCs w:val="21"/>
        </w:rPr>
        <w:t xml:space="preserve">, and no phase begins before the preceding phase's cross-references are verified.</w:t>
      </w:r>
    </w:p>
    <w:p>
      <w:pPr>
        <w:pStyle w:val="ListParagraph"/>
        <w:numPr>
          <w:ilvl w:val="0"/>
          <w:numId w:val="2"/>
        </w:numPr>
        <w:spacing w:after="90" w:line="264"/>
      </w:pPr>
      <w:r>
        <w:rPr>
          <w:rFonts w:ascii="Georgia" w:cs="Georgia" w:eastAsia="Georgia" w:hAnsi="Georgia"/>
          <w:color w:val="1F2328"/>
          <w:sz w:val="21"/>
          <w:szCs w:val="21"/>
        </w:rPr>
        <w:t xml:space="preserve">At the close of each phase, the Quality &amp; Compliance Manager runs a </w:t>
      </w:r>
      <w:r>
        <w:rPr>
          <w:rFonts w:ascii="Georgia" w:cs="Georgia" w:eastAsia="Georgia" w:hAnsi="Georgia"/>
          <w:b/>
          <w:bCs/>
          <w:color w:val="1F2328"/>
          <w:sz w:val="21"/>
          <w:szCs w:val="21"/>
        </w:rPr>
        <w:t xml:space="preserve">cross-reference verification</w:t>
      </w:r>
      <w:r>
        <w:rPr>
          <w:rFonts w:ascii="Georgia" w:cs="Georgia" w:eastAsia="Georgia" w:hAnsi="Georgia"/>
          <w:color w:val="1F2328"/>
          <w:sz w:val="21"/>
          <w:szCs w:val="21"/>
        </w:rPr>
        <w:t xml:space="preserve">: every citation resolves to an existing register entry, every single-source topic has exactly one home, and this Specification is updated if any relationship has changed.</w:t>
      </w:r>
    </w:p>
    <w:p>
      <w:pPr>
        <w:pStyle w:val="ListParagraph"/>
        <w:numPr>
          <w:ilvl w:val="0"/>
          <w:numId w:val="2"/>
        </w:numPr>
        <w:spacing w:after="90" w:line="264"/>
      </w:pPr>
      <w:r>
        <w:rPr>
          <w:rFonts w:ascii="Georgia" w:cs="Georgia" w:eastAsia="Georgia" w:hAnsi="Georgia"/>
          <w:color w:val="1F2328"/>
          <w:sz w:val="21"/>
          <w:szCs w:val="21"/>
        </w:rPr>
        <w:t xml:space="preserve">Documents whose authoritative sources are produced in a later phase carry forward references to register entries; those references are verified when the target document issues.</w:t>
      </w:r>
    </w:p>
    <w:p>
      <w:pPr>
        <w:pStyle w:val="Heading1"/>
        <w:pBdr>
          <w:bottom w:val="single" w:color="1E4B50" w:sz="6"/>
        </w:pBdr>
        <w:spacing w:after="200" w:before="420"/>
      </w:pPr>
      <w:r>
        <w:rPr>
          <w:rFonts w:ascii="Arial" w:cs="Arial" w:eastAsia="Arial" w:hAnsi="Arial"/>
          <w:b/>
          <w:bCs/>
          <w:color w:val="1E4B50"/>
          <w:sz w:val="30"/>
          <w:szCs w:val="30"/>
        </w:rPr>
        <w:t xml:space="preserve">18   </w:t>
      </w:r>
      <w:r>
        <w:rPr>
          <w:rFonts w:ascii="Arial" w:cs="Arial" w:eastAsia="Arial" w:hAnsi="Arial"/>
          <w:b/>
          <w:bCs/>
          <w:color w:val="1F2328"/>
          <w:sz w:val="30"/>
          <w:szCs w:val="30"/>
        </w:rPr>
        <w:t xml:space="preserve">Monitoring, Audit and KPIs</w:t>
      </w:r>
    </w:p>
    <w:p>
      <w:pPr>
        <w:spacing w:after="160" w:line="276"/>
        <w:jc w:val="both"/>
      </w:pPr>
      <w:r>
        <w:rPr>
          <w:rFonts w:ascii="Georgia" w:cs="Georgia" w:eastAsia="Georgia" w:hAnsi="Georgia"/>
          <w:color w:val="1F2328"/>
          <w:sz w:val="21"/>
          <w:szCs w:val="21"/>
        </w:rPr>
        <w:t xml:space="preserve">The health of the architecture itself is monitored, audited and measured:</w:t>
      </w:r>
    </w:p>
    <w:p>
      <w:pPr>
        <w:pStyle w:val="ListParagraph"/>
        <w:numPr>
          <w:ilvl w:val="0"/>
          <w:numId w:val="2"/>
        </w:numPr>
        <w:spacing w:after="90" w:line="264"/>
      </w:pPr>
      <w:r>
        <w:rPr>
          <w:rFonts w:ascii="Georgia" w:cs="Georgia" w:eastAsia="Georgia" w:hAnsi="Georgia"/>
          <w:b/>
          <w:bCs/>
          <w:color w:val="1F2328"/>
          <w:sz w:val="21"/>
          <w:szCs w:val="21"/>
        </w:rPr>
        <w:t xml:space="preserve">Monitoring.</w:t>
      </w:r>
      <w:r>
        <w:rPr>
          <w:rFonts w:ascii="Georgia" w:cs="Georgia" w:eastAsia="Georgia" w:hAnsi="Georgia"/>
          <w:color w:val="1F2328"/>
          <w:sz w:val="21"/>
          <w:szCs w:val="21"/>
        </w:rPr>
        <w:t xml:space="preserve"> The Quality &amp; Compliance Manager reports library status (documents in force, in draft, overdue for review) to Executive Management monthly and to the Board annually.</w:t>
      </w:r>
    </w:p>
    <w:p>
      <w:pPr>
        <w:pStyle w:val="ListParagraph"/>
        <w:numPr>
          <w:ilvl w:val="0"/>
          <w:numId w:val="2"/>
        </w:numPr>
        <w:spacing w:after="90" w:line="264"/>
      </w:pPr>
      <w:r>
        <w:rPr>
          <w:rFonts w:ascii="Georgia" w:cs="Georgia" w:eastAsia="Georgia" w:hAnsi="Georgia"/>
          <w:b/>
          <w:bCs/>
          <w:color w:val="1F2328"/>
          <w:sz w:val="21"/>
          <w:szCs w:val="21"/>
        </w:rPr>
        <w:t xml:space="preserve">Audit.</w:t>
      </w:r>
      <w:r>
        <w:rPr>
          <w:rFonts w:ascii="Georgia" w:cs="Georgia" w:eastAsia="Georgia" w:hAnsi="Georgia"/>
          <w:color w:val="1F2328"/>
          <w:sz w:val="21"/>
          <w:szCs w:val="21"/>
        </w:rPr>
        <w:t xml:space="preserve"> The document-control system is audited annually under the Audit Programme (PC-QMS-004), including a sample test of the single-source rule and cross-reference integrity.</w:t>
      </w:r>
    </w:p>
    <w:p>
      <w:pPr>
        <w:pStyle w:val="ListParagraph"/>
        <w:numPr>
          <w:ilvl w:val="0"/>
          <w:numId w:val="2"/>
        </w:numPr>
        <w:spacing w:after="90" w:line="264"/>
      </w:pPr>
      <w:r>
        <w:rPr>
          <w:rFonts w:ascii="Georgia" w:cs="Georgia" w:eastAsia="Georgia" w:hAnsi="Georgia"/>
          <w:b/>
          <w:bCs/>
          <w:color w:val="1F2328"/>
          <w:sz w:val="21"/>
          <w:szCs w:val="21"/>
        </w:rPr>
        <w:t xml:space="preserve">KPIs.</w:t>
      </w:r>
      <w:r>
        <w:rPr>
          <w:rFonts w:ascii="Georgia" w:cs="Georgia" w:eastAsia="Georgia" w:hAnsi="Georgia"/>
          <w:color w:val="1F2328"/>
          <w:sz w:val="21"/>
          <w:szCs w:val="21"/>
        </w:rPr>
        <w:t xml:space="preserve"> (i) 100% of controlled documents within their review cycle; (ii) zero documents in force without a named owner and approval record; (iii) 100% of major revisions with completed cross-reference notification within ten working days; (iv) 100% of staff-affecting Tier 2 issues with recorded acknowledgement; (v) zero unresolved inter-document conflicts older than one review cycle.</w:t>
      </w:r>
    </w:p>
    <w:p>
      <w:pPr>
        <w:pStyle w:val="Heading1"/>
        <w:pBdr>
          <w:bottom w:val="single" w:color="1E4B50" w:sz="6"/>
        </w:pBdr>
        <w:spacing w:after="200" w:before="420"/>
      </w:pPr>
      <w:r>
        <w:rPr>
          <w:rFonts w:ascii="Arial" w:cs="Arial" w:eastAsia="Arial" w:hAnsi="Arial"/>
          <w:b/>
          <w:bCs/>
          <w:color w:val="1E4B50"/>
          <w:sz w:val="30"/>
          <w:szCs w:val="30"/>
        </w:rPr>
        <w:t xml:space="preserve">19   </w:t>
      </w:r>
      <w:r>
        <w:rPr>
          <w:rFonts w:ascii="Arial" w:cs="Arial" w:eastAsia="Arial" w:hAnsi="Arial"/>
          <w:b/>
          <w:bCs/>
          <w:color w:val="1F2328"/>
          <w:sz w:val="30"/>
          <w:szCs w:val="30"/>
        </w:rPr>
        <w:t xml:space="preserve">Related Documents and References</w:t>
      </w:r>
    </w:p>
    <w:p>
      <w:pPr>
        <w:pStyle w:val="Heading2"/>
        <w:spacing w:after="140" w:before="300"/>
      </w:pPr>
      <w:r>
        <w:rPr>
          <w:rFonts w:ascii="Arial" w:cs="Arial" w:eastAsia="Arial" w:hAnsi="Arial"/>
          <w:b/>
          <w:bCs/>
          <w:color w:val="1E4B50"/>
          <w:sz w:val="24"/>
          <w:szCs w:val="24"/>
        </w:rPr>
        <w:t xml:space="preserve">19.1   </w:t>
      </w:r>
      <w:r>
        <w:rPr>
          <w:rFonts w:ascii="Arial" w:cs="Arial" w:eastAsia="Arial" w:hAnsi="Arial"/>
          <w:b/>
          <w:bCs/>
          <w:color w:val="1F2328"/>
          <w:sz w:val="24"/>
          <w:szCs w:val="24"/>
        </w:rPr>
        <w:t xml:space="preserve">Related documents</w:t>
      </w:r>
    </w:p>
    <w:p>
      <w:pPr>
        <w:spacing w:after="160" w:line="276"/>
        <w:jc w:val="both"/>
      </w:pPr>
      <w:r>
        <w:rPr>
          <w:rFonts w:ascii="Georgia" w:cs="Georgia" w:eastAsia="Georgia" w:hAnsi="Georgia"/>
          <w:color w:val="1F2328"/>
          <w:sz w:val="21"/>
          <w:szCs w:val="21"/>
        </w:rPr>
        <w:t xml:space="preserve">PC-QMS-008 Document Control Manual (to be produced, subordinate to this Specification); PC-QMS-009 Records Management Manual; PC-GOV-004 Board Committee Terms of Reference; PC-GOV-005 Delegation of Authority Framework; PC-OPS-REG-001 Live Document Register.</w:t>
      </w:r>
    </w:p>
    <w:p>
      <w:pPr>
        <w:pStyle w:val="Heading2"/>
        <w:spacing w:after="140" w:before="300"/>
      </w:pPr>
      <w:r>
        <w:rPr>
          <w:rFonts w:ascii="Arial" w:cs="Arial" w:eastAsia="Arial" w:hAnsi="Arial"/>
          <w:b/>
          <w:bCs/>
          <w:color w:val="1E4B50"/>
          <w:sz w:val="24"/>
          <w:szCs w:val="24"/>
        </w:rPr>
        <w:t xml:space="preserve">19.2   </w:t>
      </w:r>
      <w:r>
        <w:rPr>
          <w:rFonts w:ascii="Arial" w:cs="Arial" w:eastAsia="Arial" w:hAnsi="Arial"/>
          <w:b/>
          <w:bCs/>
          <w:color w:val="1F2328"/>
          <w:sz w:val="24"/>
          <w:szCs w:val="24"/>
        </w:rPr>
        <w:t xml:space="preserve">References</w:t>
      </w:r>
    </w:p>
    <w:p>
      <w:pPr>
        <w:spacing w:after="160" w:line="276"/>
        <w:jc w:val="both"/>
      </w:pPr>
      <w:r>
        <w:rPr>
          <w:rFonts w:ascii="Georgia" w:cs="Georgia" w:eastAsia="Georgia" w:hAnsi="Georgia"/>
          <w:color w:val="1F2328"/>
          <w:sz w:val="21"/>
          <w:szCs w:val="21"/>
        </w:rPr>
        <w:t xml:space="preserve">Danish Companies Act; Danish Social Services Act §§83, 83a, 91; Danish Health Act (incl. §138 and patient-safety reporting provisions); Danish Authorisation Act and the Delegation Order; Record-Keeping Order; Danish Working Environment Act; Danish Employment Terms Act; Holiday Act; Salaried Employees Act; GDPR and the Danish Data Protection Act; DDKM (IKAS) accreditation standards; ISO 9001; ISO/IEC 27001. Specific consolidated act numbers (LBK references) are cited in each domain manual at its issue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Status on issue.</w:t>
            </w:r>
            <w:r>
              <w:rPr>
                <w:rFonts w:ascii="Georgia" w:cs="Georgia" w:eastAsia="Georgia" w:hAnsi="Georgia"/>
                <w:color w:val="1F2328"/>
                <w:sz w:val="20"/>
                <w:szCs w:val="20"/>
              </w:rPr>
              <w:t xml:space="preserve"> This Specification is presented at v1.0 draft for approval by the Board of Directors. Upon approval, Phase 2 production may commence in accordance with Section 17.</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1" w:sz="4"/>
      </w:pBdr>
      <w:tabs>
        <w:tab w:val="right" w:pos="9026"/>
      </w:tabs>
      <w:spacing w:before="60"/>
    </w:pPr>
    <w:r>
      <w:rPr>
        <w:rFonts w:ascii="Arial" w:cs="Arial" w:eastAsia="Arial" w:hAnsi="Arial"/>
        <w:color w:val="44515C"/>
        <w:sz w:val="14"/>
        <w:szCs w:val="14"/>
      </w:rPr>
      <w:t xml:space="preserve">PC-GOV-000 · Governance Architecture Specification · v1.0 · Controlled Document</w:t>
    </w:r>
    <w:r>
      <w:rPr>
        <w:rFonts w:ascii="Arial" w:cs="Arial" w:eastAsia="Arial" w:hAnsi="Arial"/>
        <w:sz w:val="14"/>
        <w:szCs w:val="14"/>
      </w:rPr>
      <w:t xml:space="preserve">	</w:t>
    </w:r>
    <w:r>
      <w:rPr>
        <w:rFonts w:ascii="Arial" w:cs="Arial" w:eastAsia="Arial" w:hAnsi="Arial"/>
        <w:color w:val="44515C"/>
        <w:sz w:val="14"/>
        <w:szCs w:val="14"/>
      </w:rPr>
      <w:t xml:space="preserve">Page </w:t>
    </w:r>
    <w:r>
      <w:rPr>
        <w:rFonts w:ascii="Arial" w:cs="Arial" w:eastAsia="Arial" w:hAnsi="Arial"/>
        <w:b/>
        <w:bCs/>
        <w:color w:val="1E4B50"/>
        <w:sz w:val="14"/>
        <w:szCs w:val="14"/>
      </w:rPr>
      <w:fldChar w:fldCharType="begin"/>
      <w:instrText xml:space="preserve">PAGE</w:instrText>
      <w:fldChar w:fldCharType="separate"/>
      <w:fldChar w:fldCharType="end"/>
    </w:r>
    <w:r>
      <w:rPr>
        <w:rFonts w:ascii="Arial" w:cs="Arial" w:eastAsia="Arial" w:hAnsi="Arial"/>
        <w:color w:val="44515C"/>
        <w:sz w:val="14"/>
        <w:szCs w:val="14"/>
      </w:rPr>
      <w:t xml:space="preserve"> of </w:t>
    </w:r>
    <w:r>
      <w:rPr>
        <w:rFonts w:ascii="Arial" w:cs="Arial" w:eastAsia="Arial" w:hAnsi="Arial"/>
        <w:color w:val="4451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b/>
        <w:bCs/>
        <w:color w:val="1E4B50"/>
      </w:r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Architecture Specification (PC-GOV-000)</dc:title>
  <dc:creator>Premium Care ApS</dc:creator>
  <dc:description>Controlling document of the Premium Care ApS governance library</dc:description>
  <cp:lastModifiedBy>Un-named</cp:lastModifiedBy>
  <cp:revision>1</cp:revision>
  <dcterms:created xsi:type="dcterms:W3CDTF">2026-07-06T13:49:56.755Z</dcterms:created>
  <dcterms:modified xsi:type="dcterms:W3CDTF">2026-07-06T13:49:56.755Z</dcterms:modified>
</cp:coreProperties>
</file>

<file path=docProps/custom.xml><?xml version="1.0" encoding="utf-8"?>
<Properties xmlns="http://schemas.openxmlformats.org/officeDocument/2006/custom-properties" xmlns:vt="http://schemas.openxmlformats.org/officeDocument/2006/docPropsVTypes"/>
</file>