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pBdr>
          <w:top w:val="single" w:color="1E4B50" w:sz="8"/>
        </w:pBdr>
        <w:spacing w:after="60"/>
      </w:pPr>
    </w:p>
    <w:p>
      <w:pPr>
        <w:spacing w:after="60"/>
      </w:pPr>
      <w:r>
        <w:rPr>
          <w:rFonts w:ascii="Arial" w:cs="Arial" w:eastAsia="Arial" w:hAnsi="Arial"/>
          <w:b/>
          <w:bCs/>
          <w:color w:val="1E4B50"/>
          <w:spacing w:val="60"/>
          <w:sz w:val="26"/>
          <w:szCs w:val="26"/>
        </w:rPr>
        <w:t xml:space="preserve">PREMIUM CARE ApS</w:t>
      </w:r>
    </w:p>
    <w:p>
      <w:pPr>
        <w:spacing w:after="40"/>
      </w:pPr>
      <w:r>
        <w:rPr>
          <w:rFonts w:ascii="Arial" w:cs="Arial" w:eastAsia="Arial" w:hAnsi="Arial"/>
          <w:color w:val="44515C"/>
          <w:spacing w:val="40"/>
          <w:sz w:val="18"/>
          <w:szCs w:val="18"/>
        </w:rPr>
        <w:t xml:space="preserve">Governance Library · Tier 1</w:t>
      </w:r>
    </w:p>
    <w:p>
      <w:pPr>
        <w:spacing w:after="800"/>
      </w:pPr>
    </w:p>
    <w:p>
      <w:pPr>
        <w:spacing w:after="160"/>
      </w:pPr>
      <w:r>
        <w:rPr>
          <w:rFonts w:ascii="Georgia" w:cs="Georgia" w:eastAsia="Georgia" w:hAnsi="Georgia"/>
          <w:color w:val="1F2328"/>
          <w:sz w:val="64"/>
          <w:szCs w:val="64"/>
        </w:rPr>
        <w:t xml:space="preserve">Premium Care</w:t>
      </w:r>
    </w:p>
    <w:p>
      <w:pPr>
        <w:spacing w:after="300"/>
      </w:pPr>
      <w:r>
        <w:rPr>
          <w:rFonts w:ascii="Georgia" w:cs="Georgia" w:eastAsia="Georgia" w:hAnsi="Georgia"/>
          <w:color w:val="1F2328"/>
          <w:sz w:val="64"/>
          <w:szCs w:val="64"/>
        </w:rPr>
        <w:t xml:space="preserve">Operating System</w:t>
      </w:r>
    </w:p>
    <w:p>
      <w:pPr>
        <w:spacing w:after="100"/>
      </w:pPr>
      <w:r>
        <w:rPr>
          <w:rFonts w:ascii="Georgia" w:cs="Georgia" w:eastAsia="Georgia" w:hAnsi="Georgia"/>
          <w:i/>
          <w:iCs/>
          <w:color w:val="44515C"/>
          <w:sz w:val="22"/>
          <w:szCs w:val="22"/>
        </w:rPr>
        <w:t xml:space="preserve">Governance Programme Manual — the master operating manual governing the production, control, measurement and maturing of every controlled document and governance process of Premium Care ApS.</w:t>
      </w:r>
    </w:p>
    <w:p>
      <w:pPr>
        <w:spacing w:after="20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ID</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PC-GOV-100</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Short name</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PCOS</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1 — Framework (subordinate to PC-GOV-000)</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Version</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 (Draft for Board approval — gate G1)</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Classification</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Controlled Document — Internal</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Owner</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 (Programme Sponsor)</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Approval Authority</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Date</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 July 2026</w:t>
            </w:r>
          </w:p>
        </w:tc>
      </w:tr>
    </w:tbl>
    <w:p>
      <w:r>
        <w:br w:type="page"/>
      </w:r>
    </w:p>
    <w:p>
      <w:pPr>
        <w:pStyle w:val="Heading1"/>
        <w:pBdr>
          <w:bottom w:val="single" w:color="1E4B50" w:sz="6"/>
        </w:pBdr>
        <w:spacing w:after="200" w:before="420"/>
      </w:pPr>
      <w:r>
        <w:rPr>
          <w:rFonts w:ascii="Arial" w:cs="Arial" w:eastAsia="Arial" w:hAnsi="Arial"/>
          <w:b/>
          <w:bCs/>
          <w:color w:val="1E4B50"/>
          <w:sz w:val="30"/>
          <w:szCs w:val="30"/>
        </w:rPr>
        <w:t xml:space="preserve">   </w:t>
      </w:r>
      <w:r>
        <w:rPr>
          <w:rFonts w:ascii="Arial" w:cs="Arial" w:eastAsia="Arial" w:hAnsi="Arial"/>
          <w:b/>
          <w:bCs/>
          <w:color w:val="1F2328"/>
          <w:sz w:val="30"/>
          <w:szCs w:val="30"/>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title</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Premium Care Operating System (PCOS) — Governance Programme Manual</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ID / Version</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PC-GOV-100 · v1.0</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Status</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Draft — pending Board approval at gate G1</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Owner / Approver</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 / Board of Directors</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Governing document</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PC-GOV-000 Governance Architecture Specification v1.1 — prevails in any conflict</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Review frequency</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Annually, and at every programme gate</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Distribution</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Executive Management; all document owners; PMO</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Language standard</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British English; Danish statutory terms in italics on first use</w:t>
            </w:r>
          </w:p>
        </w:tc>
      </w:tr>
    </w:tbl>
    <w:p>
      <w:pPr>
        <w:spacing w:after="200"/>
      </w:pP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800"/>
        <w:gridCol w:w="3326"/>
      </w:tblGrid>
      <w:tr>
        <w:trPr>
          <w:cantSplit/>
          <w:tblHeader/>
        </w:trPr>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Version</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Date</w:t>
            </w:r>
          </w:p>
        </w:tc>
        <w:tc>
          <w:tcPr>
            <w:tcW w:type="dxa" w:w="2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Author</w:t>
            </w:r>
          </w:p>
        </w:tc>
        <w:tc>
          <w:tcPr>
            <w:tcW w:type="dxa" w:w="33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Summary of change</w:t>
            </w:r>
          </w:p>
        </w:tc>
      </w:tr>
      <w:tr>
        <w:trPr>
          <w:cantSplit/>
        </w:trPr>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0.1–0.3</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 July 2026</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design engagement</w:t>
            </w:r>
          </w:p>
        </w:tc>
        <w:tc>
          <w:tcPr>
            <w:tcW w:type="dxa" w:w="3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Drafted across Parts 1–12 against the approved architecture and audit AUD-2026-001.</w:t>
            </w:r>
          </w:p>
        </w:tc>
      </w:tr>
      <w:tr>
        <w:trPr>
          <w:cantSplit/>
        </w:trPr>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 July 2026</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design engagement</w:t>
            </w:r>
          </w:p>
        </w:tc>
        <w:tc>
          <w:tcPr>
            <w:tcW w:type="dxa" w:w="33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Issued for Board approval at gate G1, with Board Approval Paper (Annex A) and baseline production schedule (Annex B).</w:t>
            </w:r>
          </w:p>
        </w:tc>
      </w:tr>
    </w:tbl>
    <w:p>
      <w:pPr>
        <w:spacing w:after="200"/>
      </w:pP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Role</w:t>
            </w:r>
          </w:p>
        </w:tc>
        <w:tc>
          <w:tcPr>
            <w:tcW w:type="dxa" w:w="3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Name / Signature</w:t>
            </w:r>
          </w:p>
        </w:tc>
        <w:tc>
          <w:tcPr>
            <w:tcW w:type="dxa" w:w="30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Date</w:t>
            </w:r>
          </w:p>
        </w:tc>
      </w:tr>
      <w:tr>
        <w:trPr>
          <w:cantSplit/>
        </w:trPr>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Chair, Board of Directors</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p>
        </w:tc>
        <w:tc>
          <w:tcPr>
            <w:tcW w:type="dxa" w:w="3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p>
        </w:tc>
      </w:tr>
      <w:tr>
        <w:trPr>
          <w:cantSplit/>
        </w:trPr>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 (Sponsor)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p>
        </w:tc>
        <w:tc>
          <w:tcPr>
            <w:tcW w:type="dxa" w:w="3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p>
        </w:tc>
      </w:tr>
    </w:tbl>
    <w:p>
      <w:r>
        <w:br w:type="page"/>
      </w:r>
    </w:p>
    <w:p>
      <w:pPr>
        <w:pStyle w:val="Heading1"/>
        <w:pBdr>
          <w:bottom w:val="single" w:color="1E4B50" w:sz="6"/>
        </w:pBdr>
        <w:spacing w:after="200" w:before="420"/>
      </w:pPr>
      <w:r>
        <w:rPr>
          <w:rFonts w:ascii="Arial" w:cs="Arial" w:eastAsia="Arial" w:hAnsi="Arial"/>
          <w:b/>
          <w:bCs/>
          <w:color w:val="1E4B50"/>
          <w:sz w:val="30"/>
          <w:szCs w:val="30"/>
        </w:rPr>
        <w:t xml:space="preserve">   </w:t>
      </w:r>
      <w:r>
        <w:rPr>
          <w:rFonts w:ascii="Arial" w:cs="Arial" w:eastAsia="Arial" w:hAnsi="Arial"/>
          <w:b/>
          <w:bCs/>
          <w:color w:val="1F2328"/>
          <w:sz w:val="30"/>
          <w:szCs w:val="30"/>
        </w:rPr>
        <w:t xml:space="preserve">Contents</w:t>
      </w:r>
    </w:p>
    <w:p>
      <w:pPr>
        <w:tabs>
          <w:tab w:val="left" w:pos="1300"/>
        </w:tabs>
        <w:spacing w:after="110"/>
      </w:pPr>
      <w:r>
        <w:rPr>
          <w:rFonts w:ascii="Arial" w:cs="Arial" w:eastAsia="Arial" w:hAnsi="Arial"/>
          <w:b/>
          <w:bCs/>
          <w:color w:val="1E4B50"/>
          <w:sz w:val="21"/>
          <w:szCs w:val="21"/>
        </w:rPr>
        <w:t xml:space="preserve">Part 1</w:t>
      </w:r>
      <w:r>
        <w:rPr>
          <w:rFonts w:ascii="Georgia" w:cs="Georgia" w:eastAsia="Georgia" w:hAnsi="Georgia"/>
          <w:color w:val="1F2328"/>
          <w:sz w:val="21"/>
          <w:szCs w:val="21"/>
        </w:rPr>
        <w:t xml:space="preserve">	Executive Governance</w:t>
      </w:r>
    </w:p>
    <w:p>
      <w:pPr>
        <w:tabs>
          <w:tab w:val="left" w:pos="1300"/>
        </w:tabs>
        <w:spacing w:after="110"/>
      </w:pPr>
      <w:r>
        <w:rPr>
          <w:rFonts w:ascii="Arial" w:cs="Arial" w:eastAsia="Arial" w:hAnsi="Arial"/>
          <w:b/>
          <w:bCs/>
          <w:color w:val="1E4B50"/>
          <w:sz w:val="21"/>
          <w:szCs w:val="21"/>
        </w:rPr>
        <w:t xml:space="preserve">Part 2</w:t>
      </w:r>
      <w:r>
        <w:rPr>
          <w:rFonts w:ascii="Georgia" w:cs="Georgia" w:eastAsia="Georgia" w:hAnsi="Georgia"/>
          <w:color w:val="1F2328"/>
          <w:sz w:val="21"/>
          <w:szCs w:val="21"/>
        </w:rPr>
        <w:t xml:space="preserve">	Governance Programme</w:t>
      </w:r>
    </w:p>
    <w:p>
      <w:pPr>
        <w:tabs>
          <w:tab w:val="left" w:pos="1300"/>
        </w:tabs>
        <w:spacing w:after="110"/>
      </w:pPr>
      <w:r>
        <w:rPr>
          <w:rFonts w:ascii="Arial" w:cs="Arial" w:eastAsia="Arial" w:hAnsi="Arial"/>
          <w:b/>
          <w:bCs/>
          <w:color w:val="1E4B50"/>
          <w:sz w:val="21"/>
          <w:szCs w:val="21"/>
        </w:rPr>
        <w:t xml:space="preserve">Part 3</w:t>
      </w:r>
      <w:r>
        <w:rPr>
          <w:rFonts w:ascii="Georgia" w:cs="Georgia" w:eastAsia="Georgia" w:hAnsi="Georgia"/>
          <w:color w:val="1F2328"/>
          <w:sz w:val="21"/>
          <w:szCs w:val="21"/>
        </w:rPr>
        <w:t xml:space="preserve">	Implementation Roadmap</w:t>
      </w:r>
    </w:p>
    <w:p>
      <w:pPr>
        <w:tabs>
          <w:tab w:val="left" w:pos="1300"/>
        </w:tabs>
        <w:spacing w:after="110"/>
      </w:pPr>
      <w:r>
        <w:rPr>
          <w:rFonts w:ascii="Arial" w:cs="Arial" w:eastAsia="Arial" w:hAnsi="Arial"/>
          <w:b/>
          <w:bCs/>
          <w:color w:val="1E4B50"/>
          <w:sz w:val="21"/>
          <w:szCs w:val="21"/>
        </w:rPr>
        <w:t xml:space="preserve">Part 4</w:t>
      </w:r>
      <w:r>
        <w:rPr>
          <w:rFonts w:ascii="Georgia" w:cs="Georgia" w:eastAsia="Georgia" w:hAnsi="Georgia"/>
          <w:color w:val="1F2328"/>
          <w:sz w:val="21"/>
          <w:szCs w:val="21"/>
        </w:rPr>
        <w:t xml:space="preserve">	Master Document Library</w:t>
      </w:r>
    </w:p>
    <w:p>
      <w:pPr>
        <w:tabs>
          <w:tab w:val="left" w:pos="1300"/>
        </w:tabs>
        <w:spacing w:after="110"/>
      </w:pPr>
      <w:r>
        <w:rPr>
          <w:rFonts w:ascii="Arial" w:cs="Arial" w:eastAsia="Arial" w:hAnsi="Arial"/>
          <w:b/>
          <w:bCs/>
          <w:color w:val="1E4B50"/>
          <w:sz w:val="21"/>
          <w:szCs w:val="21"/>
        </w:rPr>
        <w:t xml:space="preserve">Part 5</w:t>
      </w:r>
      <w:r>
        <w:rPr>
          <w:rFonts w:ascii="Georgia" w:cs="Georgia" w:eastAsia="Georgia" w:hAnsi="Georgia"/>
          <w:color w:val="1F2328"/>
          <w:sz w:val="21"/>
          <w:szCs w:val="21"/>
        </w:rPr>
        <w:t xml:space="preserve">	Document Control System</w:t>
      </w:r>
    </w:p>
    <w:p>
      <w:pPr>
        <w:tabs>
          <w:tab w:val="left" w:pos="1300"/>
        </w:tabs>
        <w:spacing w:after="110"/>
      </w:pPr>
      <w:r>
        <w:rPr>
          <w:rFonts w:ascii="Arial" w:cs="Arial" w:eastAsia="Arial" w:hAnsi="Arial"/>
          <w:b/>
          <w:bCs/>
          <w:color w:val="1E4B50"/>
          <w:sz w:val="21"/>
          <w:szCs w:val="21"/>
        </w:rPr>
        <w:t xml:space="preserve">Part 6</w:t>
      </w:r>
      <w:r>
        <w:rPr>
          <w:rFonts w:ascii="Georgia" w:cs="Georgia" w:eastAsia="Georgia" w:hAnsi="Georgia"/>
          <w:color w:val="1F2328"/>
          <w:sz w:val="21"/>
          <w:szCs w:val="21"/>
        </w:rPr>
        <w:t xml:space="preserve">	Governance Library Design System</w:t>
      </w:r>
    </w:p>
    <w:p>
      <w:pPr>
        <w:tabs>
          <w:tab w:val="left" w:pos="1300"/>
        </w:tabs>
        <w:spacing w:after="110"/>
      </w:pPr>
      <w:r>
        <w:rPr>
          <w:rFonts w:ascii="Arial" w:cs="Arial" w:eastAsia="Arial" w:hAnsi="Arial"/>
          <w:b/>
          <w:bCs/>
          <w:color w:val="1E4B50"/>
          <w:sz w:val="21"/>
          <w:szCs w:val="21"/>
        </w:rPr>
        <w:t xml:space="preserve">Part 7</w:t>
      </w:r>
      <w:r>
        <w:rPr>
          <w:rFonts w:ascii="Georgia" w:cs="Georgia" w:eastAsia="Georgia" w:hAnsi="Georgia"/>
          <w:color w:val="1F2328"/>
          <w:sz w:val="21"/>
          <w:szCs w:val="21"/>
        </w:rPr>
        <w:t xml:space="preserve">	Digital Governance Library — Microsoft 365 Architecture</w:t>
      </w:r>
    </w:p>
    <w:p>
      <w:pPr>
        <w:tabs>
          <w:tab w:val="left" w:pos="1300"/>
        </w:tabs>
        <w:spacing w:after="110"/>
      </w:pPr>
      <w:r>
        <w:rPr>
          <w:rFonts w:ascii="Arial" w:cs="Arial" w:eastAsia="Arial" w:hAnsi="Arial"/>
          <w:b/>
          <w:bCs/>
          <w:color w:val="1E4B50"/>
          <w:sz w:val="21"/>
          <w:szCs w:val="21"/>
        </w:rPr>
        <w:t xml:space="preserve">Part 8</w:t>
      </w:r>
      <w:r>
        <w:rPr>
          <w:rFonts w:ascii="Georgia" w:cs="Georgia" w:eastAsia="Georgia" w:hAnsi="Georgia"/>
          <w:color w:val="1F2328"/>
          <w:sz w:val="21"/>
          <w:szCs w:val="21"/>
        </w:rPr>
        <w:t xml:space="preserve">	Governance Dashboards</w:t>
      </w:r>
    </w:p>
    <w:p>
      <w:pPr>
        <w:tabs>
          <w:tab w:val="left" w:pos="1300"/>
        </w:tabs>
        <w:spacing w:after="110"/>
      </w:pPr>
      <w:r>
        <w:rPr>
          <w:rFonts w:ascii="Arial" w:cs="Arial" w:eastAsia="Arial" w:hAnsi="Arial"/>
          <w:b/>
          <w:bCs/>
          <w:color w:val="1E4B50"/>
          <w:sz w:val="21"/>
          <w:szCs w:val="21"/>
        </w:rPr>
        <w:t xml:space="preserve">Part 9</w:t>
      </w:r>
      <w:r>
        <w:rPr>
          <w:rFonts w:ascii="Georgia" w:cs="Georgia" w:eastAsia="Georgia" w:hAnsi="Georgia"/>
          <w:color w:val="1F2328"/>
          <w:sz w:val="21"/>
          <w:szCs w:val="21"/>
        </w:rPr>
        <w:t xml:space="preserve">	Risk Management Operating Model</w:t>
      </w:r>
    </w:p>
    <w:p>
      <w:pPr>
        <w:tabs>
          <w:tab w:val="left" w:pos="1300"/>
        </w:tabs>
        <w:spacing w:after="110"/>
      </w:pPr>
      <w:r>
        <w:rPr>
          <w:rFonts w:ascii="Arial" w:cs="Arial" w:eastAsia="Arial" w:hAnsi="Arial"/>
          <w:b/>
          <w:bCs/>
          <w:color w:val="1E4B50"/>
          <w:sz w:val="21"/>
          <w:szCs w:val="21"/>
        </w:rPr>
        <w:t xml:space="preserve">Part 10</w:t>
      </w:r>
      <w:r>
        <w:rPr>
          <w:rFonts w:ascii="Georgia" w:cs="Georgia" w:eastAsia="Georgia" w:hAnsi="Georgia"/>
          <w:color w:val="1F2328"/>
          <w:sz w:val="21"/>
          <w:szCs w:val="21"/>
        </w:rPr>
        <w:t xml:space="preserve">	Quality Operating Model</w:t>
      </w:r>
    </w:p>
    <w:p>
      <w:pPr>
        <w:tabs>
          <w:tab w:val="left" w:pos="1300"/>
        </w:tabs>
        <w:spacing w:after="110"/>
      </w:pPr>
      <w:r>
        <w:rPr>
          <w:rFonts w:ascii="Arial" w:cs="Arial" w:eastAsia="Arial" w:hAnsi="Arial"/>
          <w:b/>
          <w:bCs/>
          <w:color w:val="1E4B50"/>
          <w:sz w:val="21"/>
          <w:szCs w:val="21"/>
        </w:rPr>
        <w:t xml:space="preserve">Part 11</w:t>
      </w:r>
      <w:r>
        <w:rPr>
          <w:rFonts w:ascii="Georgia" w:cs="Georgia" w:eastAsia="Georgia" w:hAnsi="Georgia"/>
          <w:color w:val="1F2328"/>
          <w:sz w:val="21"/>
          <w:szCs w:val="21"/>
        </w:rPr>
        <w:t xml:space="preserve">	Accreditation and Maturity Roadmap (2026–2031)</w:t>
      </w:r>
    </w:p>
    <w:p>
      <w:pPr>
        <w:tabs>
          <w:tab w:val="left" w:pos="1300"/>
        </w:tabs>
        <w:spacing w:after="110"/>
      </w:pPr>
      <w:r>
        <w:rPr>
          <w:rFonts w:ascii="Arial" w:cs="Arial" w:eastAsia="Arial" w:hAnsi="Arial"/>
          <w:b/>
          <w:bCs/>
          <w:color w:val="1E4B50"/>
          <w:sz w:val="21"/>
          <w:szCs w:val="21"/>
        </w:rPr>
        <w:t xml:space="preserve">Part 12</w:t>
      </w:r>
      <w:r>
        <w:rPr>
          <w:rFonts w:ascii="Georgia" w:cs="Georgia" w:eastAsia="Georgia" w:hAnsi="Georgia"/>
          <w:color w:val="1F2328"/>
          <w:sz w:val="21"/>
          <w:szCs w:val="21"/>
        </w:rPr>
        <w:t xml:space="preserve">	Implementation Toolkit</w:t>
      </w:r>
    </w:p>
    <w:p>
      <w:pPr>
        <w:tabs>
          <w:tab w:val="left" w:pos="1300"/>
        </w:tabs>
        <w:spacing w:after="110"/>
      </w:pPr>
      <w:r>
        <w:rPr>
          <w:rFonts w:ascii="Arial" w:cs="Arial" w:eastAsia="Arial" w:hAnsi="Arial"/>
          <w:b/>
          <w:bCs/>
          <w:color w:val="1E4B50"/>
          <w:sz w:val="21"/>
          <w:szCs w:val="21"/>
        </w:rPr>
        <w:t xml:space="preserve">13</w:t>
      </w:r>
      <w:r>
        <w:rPr>
          <w:rFonts w:ascii="Georgia" w:cs="Georgia" w:eastAsia="Georgia" w:hAnsi="Georgia"/>
          <w:color w:val="1F2328"/>
          <w:sz w:val="21"/>
          <w:szCs w:val="21"/>
        </w:rPr>
        <w:t xml:space="preserve">	Governance Maturity Assessment (baseline)</w:t>
      </w:r>
    </w:p>
    <w:p>
      <w:pPr>
        <w:tabs>
          <w:tab w:val="left" w:pos="1300"/>
        </w:tabs>
        <w:spacing w:after="110"/>
      </w:pPr>
      <w:r>
        <w:rPr>
          <w:rFonts w:ascii="Arial" w:cs="Arial" w:eastAsia="Arial" w:hAnsi="Arial"/>
          <w:b/>
          <w:bCs/>
          <w:color w:val="1E4B50"/>
          <w:sz w:val="21"/>
          <w:szCs w:val="21"/>
        </w:rPr>
        <w:t xml:space="preserve">14</w:t>
      </w:r>
      <w:r>
        <w:rPr>
          <w:rFonts w:ascii="Georgia" w:cs="Georgia" w:eastAsia="Georgia" w:hAnsi="Georgia"/>
          <w:color w:val="1F2328"/>
          <w:sz w:val="21"/>
          <w:szCs w:val="21"/>
        </w:rPr>
        <w:t xml:space="preserve">	Final Recommendations</w:t>
      </w:r>
    </w:p>
    <w:p>
      <w:pPr>
        <w:tabs>
          <w:tab w:val="left" w:pos="1300"/>
        </w:tabs>
        <w:spacing w:after="110"/>
      </w:pPr>
      <w:r>
        <w:rPr>
          <w:rFonts w:ascii="Arial" w:cs="Arial" w:eastAsia="Arial" w:hAnsi="Arial"/>
          <w:b/>
          <w:bCs/>
          <w:color w:val="1E4B50"/>
          <w:sz w:val="21"/>
          <w:szCs w:val="21"/>
        </w:rPr>
        <w:t xml:space="preserve">Annex A</w:t>
      </w:r>
      <w:r>
        <w:rPr>
          <w:rFonts w:ascii="Georgia" w:cs="Georgia" w:eastAsia="Georgia" w:hAnsi="Georgia"/>
          <w:color w:val="1F2328"/>
          <w:sz w:val="21"/>
          <w:szCs w:val="21"/>
        </w:rPr>
        <w:t xml:space="preserve">	Board Approval Paper</w:t>
      </w:r>
    </w:p>
    <w:p>
      <w:pPr>
        <w:tabs>
          <w:tab w:val="left" w:pos="1300"/>
        </w:tabs>
        <w:spacing w:after="110"/>
      </w:pPr>
      <w:r>
        <w:rPr>
          <w:rFonts w:ascii="Arial" w:cs="Arial" w:eastAsia="Arial" w:hAnsi="Arial"/>
          <w:b/>
          <w:bCs/>
          <w:color w:val="1E4B50"/>
          <w:sz w:val="21"/>
          <w:szCs w:val="21"/>
        </w:rPr>
        <w:t xml:space="preserve">Annex B</w:t>
      </w:r>
      <w:r>
        <w:rPr>
          <w:rFonts w:ascii="Georgia" w:cs="Georgia" w:eastAsia="Georgia" w:hAnsi="Georgia"/>
          <w:color w:val="1F2328"/>
          <w:sz w:val="21"/>
          <w:szCs w:val="21"/>
        </w:rPr>
        <w:t xml:space="preserve">	Production Schedule (summary)</w:t>
      </w:r>
    </w:p>
    <w:p>
      <w:r>
        <w:br w:type="page"/>
      </w:r>
    </w:p>
    <w:p>
      <w:pPr>
        <w:pStyle w:val="Heading1"/>
        <w:pBdr>
          <w:bottom w:val="single" w:color="1E4B50" w:sz="6"/>
        </w:pBdr>
        <w:spacing w:after="200" w:before="420"/>
      </w:pPr>
      <w:r>
        <w:rPr>
          <w:rFonts w:ascii="Arial" w:cs="Arial" w:eastAsia="Arial" w:hAnsi="Arial"/>
          <w:b/>
          <w:bCs/>
          <w:color w:val="1E4B50"/>
          <w:sz w:val="30"/>
          <w:szCs w:val="30"/>
        </w:rPr>
        <w:t xml:space="preserve">PART 1   </w:t>
      </w:r>
      <w:r>
        <w:rPr>
          <w:rFonts w:ascii="Arial" w:cs="Arial" w:eastAsia="Arial" w:hAnsi="Arial"/>
          <w:b/>
          <w:bCs/>
          <w:color w:val="1F2328"/>
          <w:sz w:val="30"/>
          <w:szCs w:val="30"/>
        </w:rPr>
        <w:t xml:space="preserve">Executive Governance</w:t>
      </w:r>
    </w:p>
    <w:p>
      <w:pPr>
        <w:pStyle w:val="Heading2"/>
        <w:spacing w:after="140" w:before="300"/>
      </w:pPr>
      <w:r>
        <w:rPr>
          <w:rFonts w:ascii="Arial" w:cs="Arial" w:eastAsia="Arial" w:hAnsi="Arial"/>
          <w:b/>
          <w:bCs/>
          <w:color w:val="1E4B50"/>
          <w:sz w:val="24"/>
          <w:szCs w:val="24"/>
        </w:rPr>
        <w:t xml:space="preserve">1.1   </w:t>
      </w:r>
      <w:r>
        <w:rPr>
          <w:rFonts w:ascii="Arial" w:cs="Arial" w:eastAsia="Arial" w:hAnsi="Arial"/>
          <w:b/>
          <w:bCs/>
          <w:color w:val="1F2328"/>
          <w:sz w:val="24"/>
          <w:szCs w:val="24"/>
        </w:rPr>
        <w:t xml:space="preserve">Executive summary</w:t>
      </w:r>
    </w:p>
    <w:p>
      <w:pPr>
        <w:spacing w:after="160" w:line="276"/>
        <w:jc w:val="both"/>
      </w:pPr>
      <w:r>
        <w:rPr>
          <w:rFonts w:ascii="Georgia" w:cs="Georgia" w:eastAsia="Georgia" w:hAnsi="Georgia"/>
          <w:color w:val="1F2328"/>
          <w:sz w:val="21"/>
          <w:szCs w:val="21"/>
        </w:rPr>
        <w:t xml:space="preserve">The Premium Care Operating System (PCOS) is the master operating manual of Premium Care ApS. It converts the approved Governance Architecture Specification (PC-GOV-000 v1.1) from a design into a running system: a programme structure that produces the library, a document control system that operates it, a design language that makes it recognisable, a digital platform that hosts it, dashboards that measure it, and a five-year maturity roadmap that takes the organisation from foundation to accreditation.</w:t>
      </w:r>
    </w:p>
    <w:p>
      <w:pPr>
        <w:spacing w:after="160" w:line="276"/>
        <w:jc w:val="both"/>
      </w:pPr>
      <w:r>
        <w:rPr>
          <w:rFonts w:ascii="Georgia" w:cs="Georgia" w:eastAsia="Georgia" w:hAnsi="Georgia"/>
          <w:color w:val="1F2328"/>
          <w:sz w:val="21"/>
          <w:szCs w:val="21"/>
        </w:rPr>
        <w:t xml:space="preserve">PCOS is built on work already approved: the five-tier hierarchy, permanent numbering, role-based ownership, single-source rule, committee thresholds and the independent architecture audit (AUD-2026-001). Nothing in this manual overrides PC-GOV-000; where PCOS extends the library, the extensions are presented in Part 4 for adoption into PC-GOV-000 at version 1.2 (Recommendation R1). The Specification remains the constitution; PCOS is the machinery of government.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4B50" w:sz="18"/>
              <w:bottom w:val="none" w:color="FFFFFF" w:sz="0"/>
              <w:right w:val="none" w:color="FFFFFF" w:sz="0"/>
            </w:tcBorders>
            <w:shd w:fill="F4F5F4" w:color="auto" w:val="clear"/>
            <w:tcMar>
              <w:top w:type="dxa" w:w="160"/>
              <w:left w:type="dxa" w:w="200"/>
              <w:bottom w:type="dxa" w:w="160"/>
              <w:right w:type="dxa" w:w="200"/>
            </w:tcMar>
          </w:tcPr>
          <w:p>
            <w:pPr>
              <w:spacing w:after="0" w:line="264"/>
            </w:pPr>
            <w:r>
              <w:rPr>
                <w:rFonts w:ascii="Georgia" w:cs="Georgia" w:eastAsia="Georgia" w:hAnsi="Georgia"/>
                <w:b/>
                <w:bCs/>
                <w:color w:val="1F2328"/>
                <w:sz w:val="20"/>
                <w:szCs w:val="20"/>
              </w:rPr>
              <w:t xml:space="preserve">In one sentence:</w:t>
            </w:r>
            <w:r>
              <w:rPr>
                <w:rFonts w:ascii="Georgia" w:cs="Georgia" w:eastAsia="Georgia" w:hAnsi="Georgia"/>
                <w:color w:val="1F2328"/>
                <w:sz w:val="20"/>
                <w:szCs w:val="20"/>
              </w:rPr>
              <w:t xml:space="preserve"> PC-GOV-000 defines </w:t>
            </w:r>
            <w:r>
              <w:rPr>
                <w:rFonts w:ascii="Georgia" w:cs="Georgia" w:eastAsia="Georgia" w:hAnsi="Georgia"/>
                <w:i/>
                <w:iCs/>
                <w:color w:val="1F2328"/>
                <w:sz w:val="20"/>
                <w:szCs w:val="20"/>
              </w:rPr>
              <w:t xml:space="preserve">what</w:t>
            </w:r>
            <w:r>
              <w:rPr>
                <w:rFonts w:ascii="Georgia" w:cs="Georgia" w:eastAsia="Georgia" w:hAnsi="Georgia"/>
                <w:color w:val="1F2328"/>
                <w:sz w:val="20"/>
                <w:szCs w:val="20"/>
              </w:rPr>
              <w:t xml:space="preserve"> the governance system is; PC-GOV-100 defines </w:t>
            </w:r>
            <w:r>
              <w:rPr>
                <w:rFonts w:ascii="Georgia" w:cs="Georgia" w:eastAsia="Georgia" w:hAnsi="Georgia"/>
                <w:i/>
                <w:iCs/>
                <w:color w:val="1F2328"/>
                <w:sz w:val="20"/>
                <w:szCs w:val="20"/>
              </w:rPr>
              <w:t xml:space="preserve">how it is built, operated, measured and matured</w:t>
            </w:r>
            <w:r>
              <w:rPr>
                <w:rFonts w:ascii="Georgia" w:cs="Georgia" w:eastAsia="Georgia" w:hAnsi="Georgia"/>
                <w:color w:val="1F2328"/>
                <w:sz w:val="20"/>
                <w:szCs w:val="20"/>
              </w:rPr>
              <w:t xml:space="preserve"> over the next twenty years.</w:t>
            </w:r>
          </w:p>
        </w:tc>
      </w:tr>
    </w:tbl>
    <w:p>
      <w:pPr>
        <w:pStyle w:val="Heading2"/>
        <w:spacing w:after="140" w:before="300"/>
      </w:pPr>
      <w:r>
        <w:rPr>
          <w:rFonts w:ascii="Arial" w:cs="Arial" w:eastAsia="Arial" w:hAnsi="Arial"/>
          <w:b/>
          <w:bCs/>
          <w:color w:val="1E4B50"/>
          <w:sz w:val="24"/>
          <w:szCs w:val="24"/>
        </w:rPr>
        <w:t xml:space="preserve">1.2   </w:t>
      </w:r>
      <w:r>
        <w:rPr>
          <w:rFonts w:ascii="Arial" w:cs="Arial" w:eastAsia="Arial" w:hAnsi="Arial"/>
          <w:b/>
          <w:bCs/>
          <w:color w:val="1F2328"/>
          <w:sz w:val="24"/>
          <w:szCs w:val="24"/>
        </w:rPr>
        <w:t xml:space="preserve">Governance vision</w:t>
      </w:r>
    </w:p>
    <w:p>
      <w:pPr>
        <w:spacing w:after="160" w:line="276"/>
        <w:jc w:val="both"/>
      </w:pPr>
      <w:r>
        <w:rPr>
          <w:rFonts w:ascii="Georgia" w:cs="Georgia" w:eastAsia="Georgia" w:hAnsi="Georgia"/>
          <w:color w:val="1F2328"/>
          <w:sz w:val="21"/>
          <w:szCs w:val="21"/>
        </w:rPr>
        <w:t xml:space="preserve">By 2031, Premium Care ApS will be recognised by Danish municipalities, regulators and accreditation bodies as the reference standard for governed private home care: every material decision traceable to an accountable role; every clinical task delegated, trained and evidenced; every citizen outcome measured; every document controlled; and every audit — internal, municipal, STPS, Arbejdstilsynet, ISO or DDKM — passable on any working day without preparation, because the operating state </w:t>
      </w:r>
      <w:r>
        <w:rPr>
          <w:rFonts w:ascii="Georgia" w:cs="Georgia" w:eastAsia="Georgia" w:hAnsi="Georgia"/>
          <w:i/>
          <w:iCs/>
          <w:color w:val="1F2328"/>
          <w:sz w:val="21"/>
          <w:szCs w:val="21"/>
        </w:rPr>
        <w:t xml:space="preserve">is</w:t>
      </w:r>
      <w:r>
        <w:rPr>
          <w:rFonts w:ascii="Georgia" w:cs="Georgia" w:eastAsia="Georgia" w:hAnsi="Georgia"/>
          <w:color w:val="1F2328"/>
          <w:sz w:val="21"/>
          <w:szCs w:val="21"/>
        </w:rPr>
        <w:t xml:space="preserve"> the audit-ready state.</w:t>
      </w:r>
    </w:p>
    <w:p>
      <w:pPr>
        <w:pStyle w:val="Heading2"/>
        <w:spacing w:after="140" w:before="300"/>
      </w:pPr>
      <w:r>
        <w:rPr>
          <w:rFonts w:ascii="Arial" w:cs="Arial" w:eastAsia="Arial" w:hAnsi="Arial"/>
          <w:b/>
          <w:bCs/>
          <w:color w:val="1E4B50"/>
          <w:sz w:val="24"/>
          <w:szCs w:val="24"/>
        </w:rPr>
        <w:t xml:space="preserve">1.3   </w:t>
      </w:r>
      <w:r>
        <w:rPr>
          <w:rFonts w:ascii="Arial" w:cs="Arial" w:eastAsia="Arial" w:hAnsi="Arial"/>
          <w:b/>
          <w:bCs/>
          <w:color w:val="1F2328"/>
          <w:sz w:val="24"/>
          <w:szCs w:val="24"/>
        </w:rPr>
        <w:t xml:space="preserve">Operating principles</w:t>
      </w:r>
    </w:p>
    <w:p>
      <w:pPr>
        <w:spacing w:after="160" w:line="276"/>
        <w:jc w:val="both"/>
      </w:pPr>
      <w:r>
        <w:rPr>
          <w:rFonts w:ascii="Georgia" w:cs="Georgia" w:eastAsia="Georgia" w:hAnsi="Georgia"/>
          <w:color w:val="1F2328"/>
          <w:sz w:val="21"/>
          <w:szCs w:val="21"/>
        </w:rPr>
        <w:t xml:space="preserve">Twelve principles govern the operation of PCOS. They extend, and never contradict, the design principles of PC-GOV-000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cantSplit/>
          <w:tblHeader/>
        </w:trPr>
        <w:tc>
          <w:tcPr>
            <w:tcW w:type="dxa" w:w="1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t>
            </w:r>
          </w:p>
        </w:tc>
        <w:tc>
          <w:tcPr>
            <w:tcW w:type="dxa" w:w="80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Principle</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Constitution first.</w:t>
            </w:r>
            <w:r>
              <w:rPr>
                <w:rFonts w:ascii="Arial" w:cs="Arial" w:eastAsia="Arial" w:hAnsi="Arial"/>
                <w:b w:val="false"/>
                <w:bCs w:val="false"/>
                <w:color w:val="1F2328"/>
                <w:sz w:val="18"/>
                <w:szCs w:val="18"/>
              </w:rPr>
              <w:t xml:space="preserve"> PC-GOV-000 prevails over PCOS; PCOS prevails over every subordinate plan, template and tool.</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One source, many views.</w:t>
            </w:r>
            <w:r>
              <w:rPr>
                <w:rFonts w:ascii="Arial" w:cs="Arial" w:eastAsia="Arial" w:hAnsi="Arial"/>
                <w:b w:val="false"/>
                <w:bCs w:val="false"/>
                <w:color w:val="1F2328"/>
                <w:sz w:val="18"/>
                <w:szCs w:val="18"/>
              </w:rPr>
              <w:t xml:space="preserve"> Data is captured once (registers, EOJ, HR system) and rendered many times (dashboards, board packs, tender evidence). No parallel spreadsheets.</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P3</w:t>
            </w:r>
          </w:p>
        </w:tc>
        <w:tc>
          <w:tcPr>
            <w:tcW w:type="dxa" w:w="8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Audit-ready by default.</w:t>
            </w:r>
            <w:r>
              <w:rPr>
                <w:rFonts w:ascii="Arial" w:cs="Arial" w:eastAsia="Arial" w:hAnsi="Arial"/>
                <w:b w:val="false"/>
                <w:bCs w:val="false"/>
                <w:color w:val="1F2328"/>
                <w:sz w:val="18"/>
                <w:szCs w:val="18"/>
              </w:rPr>
              <w:t xml:space="preserve"> Evidence is produced as a by-product of doing the work, never as a preparation exercise before an inspection.</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P4</w:t>
            </w:r>
          </w:p>
        </w:tc>
        <w:tc>
          <w:tcPr>
            <w:tcW w:type="dxa" w:w="8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Decisions rest with people.</w:t>
            </w:r>
            <w:r>
              <w:rPr>
                <w:rFonts w:ascii="Arial" w:cs="Arial" w:eastAsia="Arial" w:hAnsi="Arial"/>
                <w:b w:val="false"/>
                <w:bCs w:val="false"/>
                <w:color w:val="1F2328"/>
                <w:sz w:val="18"/>
                <w:szCs w:val="18"/>
              </w:rPr>
              <w:t xml:space="preserve"> Clinical judgement, safeguarding decisions, delegation of healthcare tasks and above-threshold financial decisions are never automated; systems inform, humans decide.</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P5</w:t>
            </w:r>
          </w:p>
        </w:tc>
        <w:tc>
          <w:tcPr>
            <w:tcW w:type="dxa" w:w="8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Proportionate governance.</w:t>
            </w:r>
            <w:r>
              <w:rPr>
                <w:rFonts w:ascii="Arial" w:cs="Arial" w:eastAsia="Arial" w:hAnsi="Arial"/>
                <w:b w:val="false"/>
                <w:bCs w:val="false"/>
                <w:color w:val="1F2328"/>
                <w:sz w:val="18"/>
                <w:szCs w:val="18"/>
              </w:rPr>
              <w:t xml:space="preserve"> Controls activate by threshold (PC-GOV-000 §14); the ten-person company is never made to carry the ceremony of the five-hundred-person company.</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P6</w:t>
            </w:r>
          </w:p>
        </w:tc>
        <w:tc>
          <w:tcPr>
            <w:tcW w:type="dxa" w:w="8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Statutory floor, premium ceiling.</w:t>
            </w:r>
            <w:r>
              <w:rPr>
                <w:rFonts w:ascii="Arial" w:cs="Arial" w:eastAsia="Arial" w:hAnsi="Arial"/>
                <w:b w:val="false"/>
                <w:bCs w:val="false"/>
                <w:color w:val="1F2328"/>
                <w:sz w:val="18"/>
                <w:szCs w:val="18"/>
              </w:rPr>
              <w:t xml:space="preserve"> Danish law defines the minimum; the Premium Care Standard (PC-QMS-002) defines the target. The gap between them is the brand.</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P7</w:t>
            </w:r>
          </w:p>
        </w:tc>
        <w:tc>
          <w:tcPr>
            <w:tcW w:type="dxa" w:w="8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Closed loops.</w:t>
            </w:r>
            <w:r>
              <w:rPr>
                <w:rFonts w:ascii="Arial" w:cs="Arial" w:eastAsia="Arial" w:hAnsi="Arial"/>
                <w:b w:val="false"/>
                <w:bCs w:val="false"/>
                <w:color w:val="1F2328"/>
                <w:sz w:val="18"/>
                <w:szCs w:val="18"/>
              </w:rPr>
              <w:t xml:space="preserve"> Every incident, complaint, audit finding and risk has an owner, an action, a deadline and a verification step. Nothing is logged without being closed or escalated.</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P8</w:t>
            </w:r>
          </w:p>
        </w:tc>
        <w:tc>
          <w:tcPr>
            <w:tcW w:type="dxa" w:w="8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Learning before blame.</w:t>
            </w:r>
            <w:r>
              <w:rPr>
                <w:rFonts w:ascii="Arial" w:cs="Arial" w:eastAsia="Arial" w:hAnsi="Arial"/>
                <w:b w:val="false"/>
                <w:bCs w:val="false"/>
                <w:color w:val="1F2328"/>
                <w:sz w:val="18"/>
                <w:szCs w:val="18"/>
              </w:rPr>
              <w:t xml:space="preserve"> UTH reporting, whistleblowing and lessons-learned operate under just-culture rules; the system hunts causes, not culprits.</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P9</w:t>
            </w:r>
          </w:p>
        </w:tc>
        <w:tc>
          <w:tcPr>
            <w:tcW w:type="dxa" w:w="8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Citizen voice in the loop.</w:t>
            </w:r>
            <w:r>
              <w:rPr>
                <w:rFonts w:ascii="Arial" w:cs="Arial" w:eastAsia="Arial" w:hAnsi="Arial"/>
                <w:b w:val="false"/>
                <w:bCs w:val="false"/>
                <w:color w:val="1F2328"/>
                <w:sz w:val="18"/>
                <w:szCs w:val="18"/>
              </w:rPr>
              <w:t xml:space="preserve"> Feedback and complaints data flow into the same improvement machinery as clinical audit (Part 10), with equal standing.</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P10</w:t>
            </w:r>
          </w:p>
        </w:tc>
        <w:tc>
          <w:tcPr>
            <w:tcW w:type="dxa" w:w="8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Danish law in Danish concepts.</w:t>
            </w:r>
            <w:r>
              <w:rPr>
                <w:rFonts w:ascii="Arial" w:cs="Arial" w:eastAsia="Arial" w:hAnsi="Arial"/>
                <w:b w:val="false"/>
                <w:bCs w:val="false"/>
                <w:color w:val="1F2328"/>
                <w:sz w:val="18"/>
                <w:szCs w:val="18"/>
              </w:rPr>
              <w:t xml:space="preserve"> Serviceloven, sundhedsloven, arbejdsmiljøloven and databeskyttelsesloven are embedded as designed-in constraints, never translated approximations.</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P11</w:t>
            </w:r>
          </w:p>
        </w:tc>
        <w:tc>
          <w:tcPr>
            <w:tcW w:type="dxa" w:w="8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Scale without redesign.</w:t>
            </w:r>
            <w:r>
              <w:rPr>
                <w:rFonts w:ascii="Arial" w:cs="Arial" w:eastAsia="Arial" w:hAnsi="Arial"/>
                <w:b w:val="false"/>
                <w:bCs w:val="false"/>
                <w:color w:val="1F2328"/>
                <w:sz w:val="18"/>
                <w:szCs w:val="18"/>
              </w:rPr>
              <w:t xml:space="preserve"> Growth changes thresholds, sites and volumes — never the architecture, the numbering or the single-source rule.</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P12</w:t>
            </w:r>
          </w:p>
        </w:tc>
        <w:tc>
          <w:tcPr>
            <w:tcW w:type="dxa" w:w="8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Documents serve operations.</w:t>
            </w:r>
            <w:r>
              <w:rPr>
                <w:rFonts w:ascii="Arial" w:cs="Arial" w:eastAsia="Arial" w:hAnsi="Arial"/>
                <w:b w:val="false"/>
                <w:bCs w:val="false"/>
                <w:color w:val="1F2328"/>
                <w:sz w:val="18"/>
                <w:szCs w:val="18"/>
              </w:rPr>
              <w:t xml:space="preserve"> A document that is not used, measured or referenced is retired at review. Shelf-ware is a governance defect.</w:t>
            </w:r>
          </w:p>
        </w:tc>
      </w:tr>
    </w:tbl>
    <w:p>
      <w:pPr>
        <w:spacing w:after="200"/>
      </w:pPr>
    </w:p>
    <w:p>
      <w:pPr>
        <w:pStyle w:val="Heading2"/>
        <w:spacing w:after="140" w:before="300"/>
      </w:pPr>
      <w:r>
        <w:rPr>
          <w:rFonts w:ascii="Arial" w:cs="Arial" w:eastAsia="Arial" w:hAnsi="Arial"/>
          <w:b/>
          <w:bCs/>
          <w:color w:val="1E4B50"/>
          <w:sz w:val="24"/>
          <w:szCs w:val="24"/>
        </w:rPr>
        <w:t xml:space="preserve">1.4   </w:t>
      </w:r>
      <w:r>
        <w:rPr>
          <w:rFonts w:ascii="Arial" w:cs="Arial" w:eastAsia="Arial" w:hAnsi="Arial"/>
          <w:b/>
          <w:bCs/>
          <w:color w:val="1F2328"/>
          <w:sz w:val="24"/>
          <w:szCs w:val="24"/>
        </w:rPr>
        <w:t xml:space="preserve">Governance philosophy</w:t>
      </w:r>
    </w:p>
    <w:p>
      <w:pPr>
        <w:spacing w:after="160" w:line="276"/>
        <w:jc w:val="both"/>
      </w:pPr>
      <w:r>
        <w:rPr>
          <w:rFonts w:ascii="Georgia" w:cs="Georgia" w:eastAsia="Georgia" w:hAnsi="Georgia"/>
          <w:color w:val="1F2328"/>
          <w:sz w:val="21"/>
          <w:szCs w:val="21"/>
        </w:rPr>
        <w:t xml:space="preserve">Premium Care's values — professional excellence, compassion, integrity, accountability, patient safety, clinical excellence, transparency, continuous improvement, a learning culture and ethical leadership — are operationalised, not recited. PCOS assigns each value a measurable expression: accountability appears as named owners and closed loops (P7); transparency as dashboards and the Annual Governance &amp; Assurance Statement; patient safety as the UTH loop and the STPS instruks tranche; learning culture as just-culture rules (P8) and the lessons-learned cycle (Part 10). Where a proposed control cannot be traced to a value and a measure, it is rejected as bureaucracy.</w:t>
      </w:r>
    </w:p>
    <w:p>
      <w:pPr>
        <w:pStyle w:val="Heading2"/>
        <w:spacing w:after="140" w:before="300"/>
      </w:pPr>
      <w:r>
        <w:rPr>
          <w:rFonts w:ascii="Arial" w:cs="Arial" w:eastAsia="Arial" w:hAnsi="Arial"/>
          <w:b/>
          <w:bCs/>
          <w:color w:val="1E4B50"/>
          <w:sz w:val="24"/>
          <w:szCs w:val="24"/>
        </w:rPr>
        <w:t xml:space="preserve">1.5   </w:t>
      </w:r>
      <w:r>
        <w:rPr>
          <w:rFonts w:ascii="Arial" w:cs="Arial" w:eastAsia="Arial" w:hAnsi="Arial"/>
          <w:b/>
          <w:bCs/>
          <w:color w:val="1F2328"/>
          <w:sz w:val="24"/>
          <w:szCs w:val="24"/>
        </w:rPr>
        <w:t xml:space="preserve">Governance maturity model</w:t>
      </w:r>
    </w:p>
    <w:p>
      <w:pPr>
        <w:spacing w:after="160" w:line="276"/>
        <w:jc w:val="both"/>
      </w:pPr>
      <w:r>
        <w:rPr>
          <w:rFonts w:ascii="Georgia" w:cs="Georgia" w:eastAsia="Georgia" w:hAnsi="Georgia"/>
          <w:color w:val="1F2328"/>
          <w:sz w:val="21"/>
          <w:szCs w:val="21"/>
        </w:rPr>
        <w:t xml:space="preserve">PCOS measures the organisation against a five-level maturity model applied per domain (Part 11 sets the trajectory; Part 8 measures it quarterly).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726"/>
      </w:tblGrid>
      <w:tr>
        <w:trPr>
          <w:cantSplit/>
          <w:tblHeader/>
        </w:trPr>
        <w:tc>
          <w:tcPr>
            <w:tcW w:type="dxa" w:w="11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Level</w:t>
            </w:r>
          </w:p>
        </w:tc>
        <w:tc>
          <w:tcPr>
            <w:tcW w:type="dxa" w:w="2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Name</w:t>
            </w:r>
          </w:p>
        </w:tc>
        <w:tc>
          <w:tcPr>
            <w:tcW w:type="dxa" w:w="5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Meaning</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Initial</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Practice depends on individuals; documents absent or uncontrolled; evidence assembled reactively.</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Defined</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Architecture approved; documents drafted and controlled; registers stood up; committees constituted.</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Operating</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Documents in use; loops closing; KPIs reported; internal audit cycle running; municipal tender evidence produced from live registers.</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w:t>
            </w:r>
          </w:p>
        </w:tc>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Assured</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Independent verification: external audit, ISO certification, DDKM accreditation; board assurance framework mature; trend-based improvement.</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5</w:t>
            </w:r>
          </w:p>
        </w:tc>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Optimising</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data drives strategy; benchmarking against sector; predictive risk management; governance is a commercial differentiator.</w:t>
            </w:r>
          </w:p>
        </w:tc>
      </w:tr>
    </w:tbl>
    <w:p>
      <w:pPr>
        <w:spacing w:after="80"/>
      </w:pPr>
    </w:p>
    <w:p>
      <w:pPr>
        <w:spacing w:after="160" w:line="276"/>
        <w:jc w:val="both"/>
      </w:pPr>
      <w:r>
        <w:rPr>
          <w:rFonts w:ascii="Georgia" w:cs="Georgia" w:eastAsia="Georgia" w:hAnsi="Georgia"/>
          <w:color w:val="1F2328"/>
          <w:sz w:val="21"/>
          <w:szCs w:val="21"/>
        </w:rPr>
        <w:t xml:space="preserve">Baseline at PCOS issue: </w:t>
      </w:r>
      <w:r>
        <w:rPr>
          <w:rFonts w:ascii="Georgia" w:cs="Georgia" w:eastAsia="Georgia" w:hAnsi="Georgia"/>
          <w:b/>
          <w:bCs/>
          <w:color w:val="1F2328"/>
          <w:sz w:val="21"/>
          <w:szCs w:val="21"/>
        </w:rPr>
        <w:t xml:space="preserve">design maturity Level 2 (achieved for architecture), operational maturity Level 1</w:t>
      </w:r>
      <w:r>
        <w:rPr>
          <w:rFonts w:ascii="Georgia" w:cs="Georgia" w:eastAsia="Georgia" w:hAnsi="Georgia"/>
          <w:color w:val="1F2328"/>
          <w:sz w:val="21"/>
          <w:szCs w:val="21"/>
        </w:rPr>
        <w:t xml:space="preserve"> — an honest starting point recorded so progress is real, not rhetorical. Targets: Level 3 across all domains within 12 months of Phase 2 commencement; Level 4 in quality and information governance by end-2028; Level 4 enterprise-wide by end-2029 (Part 11).</w:t>
      </w:r>
    </w:p>
    <w:p>
      <w:pPr>
        <w:pStyle w:val="Heading2"/>
        <w:spacing w:after="140" w:before="300"/>
      </w:pPr>
      <w:r>
        <w:rPr>
          <w:rFonts w:ascii="Arial" w:cs="Arial" w:eastAsia="Arial" w:hAnsi="Arial"/>
          <w:b/>
          <w:bCs/>
          <w:color w:val="1E4B50"/>
          <w:sz w:val="24"/>
          <w:szCs w:val="24"/>
        </w:rPr>
        <w:t xml:space="preserve">1.6   </w:t>
      </w:r>
      <w:r>
        <w:rPr>
          <w:rFonts w:ascii="Arial" w:cs="Arial" w:eastAsia="Arial" w:hAnsi="Arial"/>
          <w:b/>
          <w:bCs/>
          <w:color w:val="1F2328"/>
          <w:sz w:val="24"/>
          <w:szCs w:val="24"/>
        </w:rPr>
        <w:t xml:space="preserve">Governance objectives and critical success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3726"/>
      </w:tblGrid>
      <w:tr>
        <w:trPr>
          <w:cantSplit/>
          <w:tblHeader/>
        </w:trPr>
        <w:tc>
          <w:tcPr>
            <w:tcW w:type="dxa" w:w="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t>
            </w:r>
          </w:p>
        </w:tc>
        <w:tc>
          <w:tcPr>
            <w:tcW w:type="dxa" w:w="4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Objective (by end of year 1 of operation)</w:t>
            </w:r>
          </w:p>
        </w:tc>
        <w:tc>
          <w:tcPr>
            <w:tcW w:type="dxa" w:w="3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Critical success factor</w:t>
            </w:r>
          </w:p>
        </w:tc>
      </w:tr>
      <w:tr>
        <w:trPr>
          <w:cantSplit/>
        </w:trPr>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O1</w:t>
            </w:r>
          </w:p>
        </w:tc>
        <w:tc>
          <w:tcPr>
            <w:tcW w:type="dxa" w:w="4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library Phases 2–8 produced, approved and published per the production schedule (Part 3 / Annex B).</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Protected drafting capacity; the approval gate discipline of PC-GOV-000 §17 upheld by the Board.</w:t>
            </w:r>
          </w:p>
        </w:tc>
      </w:tr>
      <w:tr>
        <w:trPr>
          <w:cantSplit/>
        </w:trPr>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O2</w:t>
            </w:r>
          </w:p>
        </w:tc>
        <w:tc>
          <w:tcPr>
            <w:tcW w:type="dxa" w:w="4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All twelve mandatory registers (PC-GOV-000 §9.8) live and populated within 90 days.</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Registers stood up before their parent manuals; owners trained on entry standards.</w:t>
            </w:r>
          </w:p>
        </w:tc>
      </w:tr>
      <w:tr>
        <w:trPr>
          <w:cantSplit/>
        </w:trPr>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O3</w:t>
            </w:r>
          </w:p>
        </w:tc>
        <w:tc>
          <w:tcPr>
            <w:tcW w:type="dxa" w:w="4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STPS instruks tranche in force before first citizen receives delegated healthcare tasks.</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 capacity ring-fenced; instrukser tested against STPS målepunkter.</w:t>
            </w:r>
          </w:p>
        </w:tc>
      </w:tr>
      <w:tr>
        <w:trPr>
          <w:cantSplit/>
        </w:trPr>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O4</w:t>
            </w:r>
          </w:p>
        </w:tc>
        <w:tc>
          <w:tcPr>
            <w:tcW w:type="dxa" w:w="4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control system (Part 5) live on the M365 platform (Part 7) before Phase 3 drafting begins.</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Platform configured to the metadata standard; e-approval workflow accepted by approvers.</w:t>
            </w:r>
          </w:p>
        </w:tc>
      </w:tr>
      <w:tr>
        <w:trPr>
          <w:cantSplit/>
        </w:trPr>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O5</w:t>
            </w:r>
          </w:p>
        </w:tc>
        <w:tc>
          <w:tcPr>
            <w:tcW w:type="dxa" w:w="4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First municipal tender submitted with evidence drawn entirely from live registers and dashboards.</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 discipline: no parallel evidence assembly permitted.</w:t>
            </w:r>
          </w:p>
        </w:tc>
      </w:tr>
      <w:tr>
        <w:trPr>
          <w:cantSplit/>
        </w:trPr>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O6</w:t>
            </w:r>
          </w:p>
        </w:tc>
        <w:tc>
          <w:tcPr>
            <w:tcW w:type="dxa" w:w="4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First annual internal audit cycle and Management Review completed; Annual Governance &amp; Assurance Statement presented to the Board.</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Audit programme (PC-QMS-004) resourced; findings tracked through CAPA to closure.</w:t>
            </w:r>
          </w:p>
        </w:tc>
      </w:tr>
    </w:tbl>
    <w:p>
      <w:pPr>
        <w:spacing w:after="200"/>
      </w:pPr>
    </w:p>
    <w:p>
      <w:pPr>
        <w:pStyle w:val="Heading2"/>
        <w:spacing w:after="140" w:before="300"/>
      </w:pPr>
      <w:r>
        <w:rPr>
          <w:rFonts w:ascii="Arial" w:cs="Arial" w:eastAsia="Arial" w:hAnsi="Arial"/>
          <w:b/>
          <w:bCs/>
          <w:color w:val="1E4B50"/>
          <w:sz w:val="24"/>
          <w:szCs w:val="24"/>
        </w:rPr>
        <w:t xml:space="preserve">1.7   </w:t>
      </w:r>
      <w:r>
        <w:rPr>
          <w:rFonts w:ascii="Arial" w:cs="Arial" w:eastAsia="Arial" w:hAnsi="Arial"/>
          <w:b/>
          <w:bCs/>
          <w:color w:val="1F2328"/>
          <w:sz w:val="24"/>
          <w:szCs w:val="24"/>
        </w:rPr>
        <w:t xml:space="preserve">Governance charter and Board commitment</w:t>
      </w:r>
    </w:p>
    <w:p>
      <w:pPr>
        <w:spacing w:after="160" w:line="276"/>
        <w:jc w:val="both"/>
      </w:pPr>
      <w:r>
        <w:rPr>
          <w:rFonts w:ascii="Georgia" w:cs="Georgia" w:eastAsia="Georgia" w:hAnsi="Georgia"/>
          <w:color w:val="1F2328"/>
          <w:sz w:val="21"/>
          <w:szCs w:val="21"/>
        </w:rPr>
        <w:t xml:space="preserve">By approving PC-GOV-100, the Board of Directors charters the Governance Programme (Part 2) and commits to: upholding the approval gates; resourcing the production schedule; receiving the reporting defined in Parts 2 and 8; reviewing risk appetite annually (Part 9); and presenting the Annual Governance &amp; Assurance Statement each year. The charter is exercised through the reserved matters and governance calendar mandated in PC-GOV-003 (PC-GOV-000 §8.4). Strategic alignment is verified annually: every governance objective must trace to a strategic objective of the company, and every strategic initiative must identify its governance dependencies before Board approval.</w:t>
      </w:r>
    </w:p>
    <w:p>
      <w:r>
        <w:br w:type="page"/>
      </w:r>
    </w:p>
    <w:p>
      <w:pPr>
        <w:pStyle w:val="Heading1"/>
        <w:pBdr>
          <w:bottom w:val="single" w:color="1E4B50" w:sz="6"/>
        </w:pBdr>
        <w:spacing w:after="200" w:before="420"/>
      </w:pPr>
      <w:r>
        <w:rPr>
          <w:rFonts w:ascii="Arial" w:cs="Arial" w:eastAsia="Arial" w:hAnsi="Arial"/>
          <w:b/>
          <w:bCs/>
          <w:color w:val="1E4B50"/>
          <w:sz w:val="30"/>
          <w:szCs w:val="30"/>
        </w:rPr>
        <w:t xml:space="preserve">PART 2   </w:t>
      </w:r>
      <w:r>
        <w:rPr>
          <w:rFonts w:ascii="Arial" w:cs="Arial" w:eastAsia="Arial" w:hAnsi="Arial"/>
          <w:b/>
          <w:bCs/>
          <w:color w:val="1F2328"/>
          <w:sz w:val="30"/>
          <w:szCs w:val="30"/>
        </w:rPr>
        <w:t xml:space="preserve">Governance Programme</w:t>
      </w:r>
    </w:p>
    <w:p>
      <w:pPr>
        <w:pStyle w:val="Heading2"/>
        <w:spacing w:after="140" w:before="300"/>
      </w:pPr>
      <w:r>
        <w:rPr>
          <w:rFonts w:ascii="Arial" w:cs="Arial" w:eastAsia="Arial" w:hAnsi="Arial"/>
          <w:b/>
          <w:bCs/>
          <w:color w:val="1E4B50"/>
          <w:sz w:val="24"/>
          <w:szCs w:val="24"/>
        </w:rPr>
        <w:t xml:space="preserve">2.1   </w:t>
      </w:r>
      <w:r>
        <w:rPr>
          <w:rFonts w:ascii="Arial" w:cs="Arial" w:eastAsia="Arial" w:hAnsi="Arial"/>
          <w:b/>
          <w:bCs/>
          <w:color w:val="1F2328"/>
          <w:sz w:val="24"/>
          <w:szCs w:val="24"/>
        </w:rPr>
        <w:t xml:space="preserve">Programme structure</w:t>
      </w:r>
    </w:p>
    <w:p>
      <w:pPr>
        <w:spacing w:after="160" w:line="276"/>
        <w:jc w:val="both"/>
      </w:pPr>
      <w:r>
        <w:rPr>
          <w:rFonts w:ascii="Georgia" w:cs="Georgia" w:eastAsia="Georgia" w:hAnsi="Georgia"/>
          <w:color w:val="1F2328"/>
          <w:sz w:val="21"/>
          <w:szCs w:val="21"/>
        </w:rPr>
        <w:t xml:space="preserve">The build-out of the governance ecosystem is run as a formal programme with proportionate ceremony (P5). Roles map onto the existing organisation; no new posts are created at current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3926"/>
      </w:tblGrid>
      <w:tr>
        <w:trPr>
          <w:cantSplit/>
          <w:tblHeader/>
        </w:trPr>
        <w:tc>
          <w:tcPr>
            <w:tcW w:type="dxa" w:w="2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Programme role</w:t>
            </w:r>
          </w:p>
        </w:tc>
        <w:tc>
          <w:tcPr>
            <w:tcW w:type="dxa" w:w="2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Held by</w:t>
            </w:r>
          </w:p>
        </w:tc>
        <w:tc>
          <w:tcPr>
            <w:tcW w:type="dxa" w:w="39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Accountability</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Programme Board</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 (standing agenda item)</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programme; approves gates G1–G5; receives monthly dashboard.</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Programme Sponsor</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Accountable for delivery; resolves resource conflicts; chairs gate reviews.</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Programme Office (PMO)</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Manager</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Plans, tracks and reports; runs document control; verifies cross-references at phase close; maintains the programme risk register.</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Suite leads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Domain owners per PC-GOV-000 §8.1</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Draft and consult their suites; certify mandated contents (§8.4) before submission.</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authority</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Professional endorsement of all CLIN documents; owns the instruks tranche.</w:t>
            </w:r>
          </w:p>
        </w:tc>
      </w:tr>
    </w:tbl>
    <w:p>
      <w:pPr>
        <w:spacing w:after="200"/>
      </w:pPr>
    </w:p>
    <w:p>
      <w:pPr>
        <w:pStyle w:val="Heading2"/>
        <w:spacing w:after="140" w:before="300"/>
      </w:pPr>
      <w:r>
        <w:rPr>
          <w:rFonts w:ascii="Arial" w:cs="Arial" w:eastAsia="Arial" w:hAnsi="Arial"/>
          <w:b/>
          <w:bCs/>
          <w:color w:val="1E4B50"/>
          <w:sz w:val="24"/>
          <w:szCs w:val="24"/>
        </w:rPr>
        <w:t xml:space="preserve">2.2   </w:t>
      </w:r>
      <w:r>
        <w:rPr>
          <w:rFonts w:ascii="Arial" w:cs="Arial" w:eastAsia="Arial" w:hAnsi="Arial"/>
          <w:b/>
          <w:bCs/>
          <w:color w:val="1F2328"/>
          <w:sz w:val="24"/>
          <w:szCs w:val="24"/>
        </w:rPr>
        <w:t xml:space="preserve">Decision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26"/>
      </w:tblGrid>
      <w:tr>
        <w:trPr>
          <w:cantSplit/>
          <w:tblHeader/>
        </w:trPr>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Gate</w:t>
            </w:r>
          </w:p>
        </w:tc>
        <w:tc>
          <w:tcPr>
            <w:tcW w:type="dxa" w:w="3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Decision</w:t>
            </w:r>
          </w:p>
        </w:tc>
        <w:tc>
          <w:tcPr>
            <w:tcW w:type="dxa" w:w="4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Entry criteria</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G0</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Architecture approved (PC-GOV-000 v1.1)</w:t>
            </w:r>
          </w:p>
        </w:tc>
        <w:tc>
          <w:tcPr>
            <w:tcW w:type="dxa" w:w="4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Audit AUD-2026-001 dispositioned. </w:t>
            </w:r>
            <w:r>
              <w:rPr>
                <w:rFonts w:ascii="Arial" w:cs="Arial" w:eastAsia="Arial" w:hAnsi="Arial"/>
                <w:b/>
                <w:bCs/>
                <w:color w:val="1F2328"/>
                <w:sz w:val="18"/>
                <w:szCs w:val="18"/>
              </w:rPr>
              <w:t xml:space="preserve">Status: presented for approval.</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G1</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PCOS approved; programme chartered</w:t>
            </w:r>
          </w:p>
        </w:tc>
        <w:tc>
          <w:tcPr>
            <w:tcW w:type="dxa" w:w="4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This manual; Board Approval Paper (Annex A); production schedule accepted.</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G2</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Foundation complete → open Phases 3–4</w:t>
            </w:r>
          </w:p>
        </w:tc>
        <w:tc>
          <w:tcPr>
            <w:tcW w:type="dxa" w:w="4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Phase 2 suite approved; PC-QMS-008/009 in force; M365 platform live (Part 7); registers stood up (O2).</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G3</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Care-readiness → service commencement</w:t>
            </w:r>
          </w:p>
        </w:tc>
        <w:tc>
          <w:tcPr>
            <w:tcW w:type="dxa" w:w="4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suite + instruks tranche in force; delegation and training registers populated; complaints route live.</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G4</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Full library in force</w:t>
            </w:r>
          </w:p>
        </w:tc>
        <w:tc>
          <w:tcPr>
            <w:tcW w:type="dxa" w:w="4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Phases 5–8 complete; cross-reference verification passed; first internal audit scheduled.</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G5</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Assurance operating</w:t>
            </w:r>
          </w:p>
        </w:tc>
        <w:tc>
          <w:tcPr>
            <w:tcW w:type="dxa" w:w="4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First audit cycle + Management Review complete; Annual Statement presented; accreditation roadmap (Part 11) baselined.</w:t>
            </w:r>
          </w:p>
        </w:tc>
      </w:tr>
    </w:tbl>
    <w:p>
      <w:pPr>
        <w:spacing w:after="200"/>
      </w:pPr>
    </w:p>
    <w:p>
      <w:pPr>
        <w:pStyle w:val="Heading2"/>
        <w:spacing w:after="140" w:before="300"/>
      </w:pPr>
      <w:r>
        <w:rPr>
          <w:rFonts w:ascii="Arial" w:cs="Arial" w:eastAsia="Arial" w:hAnsi="Arial"/>
          <w:b/>
          <w:bCs/>
          <w:color w:val="1E4B50"/>
          <w:sz w:val="24"/>
          <w:szCs w:val="24"/>
        </w:rPr>
        <w:t xml:space="preserve">2.3   </w:t>
      </w:r>
      <w:r>
        <w:rPr>
          <w:rFonts w:ascii="Arial" w:cs="Arial" w:eastAsia="Arial" w:hAnsi="Arial"/>
          <w:b/>
          <w:bCs/>
          <w:color w:val="1F2328"/>
          <w:sz w:val="24"/>
          <w:szCs w:val="24"/>
        </w:rPr>
        <w:t xml:space="preserve">Approval matrix (programme decisions)</w:t>
      </w:r>
    </w:p>
    <w:p>
      <w:pPr>
        <w:spacing w:after="160" w:line="276"/>
        <w:jc w:val="both"/>
      </w:pPr>
      <w:r>
        <w:rPr>
          <w:rFonts w:ascii="Georgia" w:cs="Georgia" w:eastAsia="Georgia" w:hAnsi="Georgia"/>
          <w:color w:val="1F2328"/>
          <w:sz w:val="21"/>
          <w:szCs w:val="21"/>
        </w:rPr>
        <w:t xml:space="preserve">Document approvals remain exactly as fixed in PC-GOV-000 §8.2. The matrix below governs </w:t>
      </w:r>
      <w:r>
        <w:rPr>
          <w:rFonts w:ascii="Georgia" w:cs="Georgia" w:eastAsia="Georgia" w:hAnsi="Georgia"/>
          <w:i/>
          <w:iCs/>
          <w:color w:val="1F2328"/>
          <w:sz w:val="21"/>
          <w:szCs w:val="21"/>
        </w:rPr>
        <w:t xml:space="preserve">programme</w:t>
      </w:r>
      <w:r>
        <w:rPr>
          <w:rFonts w:ascii="Georgia" w:cs="Georgia" w:eastAsia="Georgia" w:hAnsi="Georgia"/>
          <w:color w:val="1F2328"/>
          <w:sz w:val="21"/>
          <w:szCs w:val="21"/>
        </w:rPr>
        <w:t xml:space="preserve"> decisions only. R = recommends, A = approves, C = consulted, I = informed.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1300"/>
        <w:gridCol w:w="1400"/>
        <w:gridCol w:w="1400"/>
        <w:gridCol w:w="1400"/>
      </w:tblGrid>
      <w:tr>
        <w:trPr>
          <w:cantSplit/>
          <w:tblHeader/>
        </w:trPr>
        <w:tc>
          <w:tcPr>
            <w:tcW w:type="dxa" w:w="35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Decision</w:t>
            </w:r>
          </w:p>
        </w:tc>
        <w:tc>
          <w:tcPr>
            <w:tcW w:type="dxa" w:w="1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PMO</w:t>
            </w:r>
          </w:p>
        </w:tc>
        <w:tc>
          <w:tcPr>
            <w:tcW w:type="dxa" w:w="1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Sponsor</w:t>
            </w:r>
          </w:p>
        </w:tc>
        <w:tc>
          <w:tcPr>
            <w:tcW w:type="dxa" w:w="1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Prog. Board</w:t>
            </w:r>
          </w:p>
        </w:tc>
        <w:tc>
          <w:tcPr>
            <w:tcW w:type="dxa" w:w="1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Suite lead</w:t>
            </w:r>
          </w:p>
        </w:tc>
      </w:tr>
      <w:tr>
        <w:trPr>
          <w:cantSplit/>
        </w:trPr>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Pass a gate (G1–G5)</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w:t>
            </w:r>
          </w:p>
        </w:tc>
      </w:tr>
      <w:tr>
        <w:trPr>
          <w:cantSplit/>
        </w:trPr>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Re-sequence within a phase</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w:t>
            </w:r>
          </w:p>
        </w:tc>
      </w:tr>
      <w:tr>
        <w:trPr>
          <w:cantSplit/>
        </w:trPr>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Move a document between phases</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w:t>
            </w:r>
          </w:p>
        </w:tc>
      </w:tr>
      <w:tr>
        <w:trPr>
          <w:cantSplit/>
        </w:trPr>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Add/retire a register entry</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(via PC-GOV-000 revision)</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w:t>
            </w:r>
          </w:p>
        </w:tc>
      </w:tr>
      <w:tr>
        <w:trPr>
          <w:cantSplit/>
        </w:trPr>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Accept a programme risk above appetite</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w:t>
            </w:r>
          </w:p>
        </w:tc>
      </w:tr>
      <w:tr>
        <w:trPr>
          <w:cantSplit/>
        </w:trPr>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Approve a template (Part 12)</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w:t>
            </w:r>
          </w:p>
        </w:tc>
      </w:tr>
    </w:tbl>
    <w:p>
      <w:pPr>
        <w:spacing w:after="200"/>
      </w:pPr>
    </w:p>
    <w:p>
      <w:pPr>
        <w:pStyle w:val="Heading2"/>
        <w:spacing w:after="140" w:before="300"/>
      </w:pPr>
      <w:r>
        <w:rPr>
          <w:rFonts w:ascii="Arial" w:cs="Arial" w:eastAsia="Arial" w:hAnsi="Arial"/>
          <w:b/>
          <w:bCs/>
          <w:color w:val="1E4B50"/>
          <w:sz w:val="24"/>
          <w:szCs w:val="24"/>
        </w:rPr>
        <w:t xml:space="preserve">2.4   </w:t>
      </w:r>
      <w:r>
        <w:rPr>
          <w:rFonts w:ascii="Arial" w:cs="Arial" w:eastAsia="Arial" w:hAnsi="Arial"/>
          <w:b/>
          <w:bCs/>
          <w:color w:val="1F2328"/>
          <w:sz w:val="24"/>
          <w:szCs w:val="24"/>
        </w:rPr>
        <w:t xml:space="preserve">Escalation pathway</w:t>
      </w:r>
    </w:p>
    <w:p>
      <w:pPr>
        <w:spacing w:after="160" w:line="276"/>
        <w:jc w:val="both"/>
      </w:pPr>
      <w:r>
        <w:rPr>
          <w:rFonts w:ascii="Georgia" w:cs="Georgia" w:eastAsia="Georgia" w:hAnsi="Georgia"/>
          <w:color w:val="1F2328"/>
          <w:sz w:val="21"/>
          <w:szCs w:val="21"/>
        </w:rPr>
        <w:t xml:space="preserve">Issues escalate on a fixed clock: suite lead resolves within 5 working days → Sponsor within 5 → Programme Board at its next sitting (or by written resolution if the issue blocks a gate). Three matters escalate </w:t>
      </w:r>
      <w:r>
        <w:rPr>
          <w:rFonts w:ascii="Georgia" w:cs="Georgia" w:eastAsia="Georgia" w:hAnsi="Georgia"/>
          <w:b/>
          <w:bCs/>
          <w:color w:val="1F2328"/>
          <w:sz w:val="21"/>
          <w:szCs w:val="21"/>
        </w:rPr>
        <w:t xml:space="preserve">immediately and without discretion</w:t>
      </w:r>
      <w:r>
        <w:rPr>
          <w:rFonts w:ascii="Georgia" w:cs="Georgia" w:eastAsia="Georgia" w:hAnsi="Georgia"/>
          <w:color w:val="1F2328"/>
          <w:sz w:val="21"/>
          <w:szCs w:val="21"/>
        </w:rPr>
        <w:t xml:space="preserve">: any conflict between documents (a document-control incident under PC-GOV-000 §6); any finding that a statutory obligation is uncovered; and any attempt to bypass an approval gate. The protected direct-to-Board routes of PC-GOV-000 §13 remain available at all times and are not sequenced through this pathway.</w:t>
      </w:r>
    </w:p>
    <w:p>
      <w:pPr>
        <w:pStyle w:val="Heading2"/>
        <w:spacing w:after="140" w:before="300"/>
      </w:pPr>
      <w:r>
        <w:rPr>
          <w:rFonts w:ascii="Arial" w:cs="Arial" w:eastAsia="Arial" w:hAnsi="Arial"/>
          <w:b/>
          <w:bCs/>
          <w:color w:val="1E4B50"/>
          <w:sz w:val="24"/>
          <w:szCs w:val="24"/>
        </w:rPr>
        <w:t xml:space="preserve">2.5   </w:t>
      </w:r>
      <w:r>
        <w:rPr>
          <w:rFonts w:ascii="Arial" w:cs="Arial" w:eastAsia="Arial" w:hAnsi="Arial"/>
          <w:b/>
          <w:bCs/>
          <w:color w:val="1F2328"/>
          <w:sz w:val="24"/>
          <w:szCs w:val="24"/>
        </w:rPr>
        <w:t xml:space="preserve">Governance calendar and meeting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Forum</w:t>
            </w:r>
          </w:p>
        </w:tc>
        <w:tc>
          <w:tcPr>
            <w:tcW w:type="dxa" w:w="2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Rhythm</w:t>
            </w:r>
          </w:p>
        </w:tc>
        <w:tc>
          <w:tcPr>
            <w:tcW w:type="dxa" w:w="4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Standing agenda (governance items)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Programme Board (within Board meeting)</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Monthly during build; quarterly thereafter</w:t>
            </w:r>
          </w:p>
        </w:tc>
        <w:tc>
          <w:tcPr>
            <w:tcW w:type="dxa" w:w="4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Dashboard; gate status; risks above appetite; decisions required.</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Sponsor review</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Fortnightly during build</w:t>
            </w:r>
          </w:p>
        </w:tc>
        <w:tc>
          <w:tcPr>
            <w:tcW w:type="dxa" w:w="4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Schedule vs plan; blockers; resource; upcoming approvals.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PMO / suite leads</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Weekly during build</w:t>
            </w:r>
          </w:p>
        </w:tc>
        <w:tc>
          <w:tcPr>
            <w:tcW w:type="dxa" w:w="4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Drafting progress; consultation status; cross-reference queue.</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Patient Safety Cttee</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Quarterly</w:t>
            </w:r>
          </w:p>
        </w:tc>
        <w:tc>
          <w:tcPr>
            <w:tcW w:type="dxa" w:w="4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 PC-GOV-004; receives clinical and quality suite reviews.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 Governance Group</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Quarterly</w:t>
            </w:r>
          </w:p>
        </w:tc>
        <w:tc>
          <w:tcPr>
            <w:tcW w:type="dxa" w:w="4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 PC-GOV-004; platform, GDPR and retention oversight.</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AMO</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 statute</w:t>
            </w:r>
          </w:p>
        </w:tc>
        <w:tc>
          <w:tcPr>
            <w:tcW w:type="dxa" w:w="4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HSE suite consultation; APV; accident trends.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Management Review</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Annual</w:t>
            </w:r>
          </w:p>
        </w:tc>
        <w:tc>
          <w:tcPr>
            <w:tcW w:type="dxa" w:w="4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 PC-QMS-006; whole-system effectiveness.</w:t>
            </w:r>
          </w:p>
        </w:tc>
      </w:tr>
    </w:tbl>
    <w:p>
      <w:pPr>
        <w:spacing w:after="80"/>
      </w:pPr>
    </w:p>
    <w:p>
      <w:pPr>
        <w:spacing w:after="160" w:line="276"/>
        <w:jc w:val="both"/>
      </w:pPr>
      <w:r>
        <w:rPr>
          <w:rFonts w:ascii="Georgia" w:cs="Georgia" w:eastAsia="Georgia" w:hAnsi="Georgia"/>
          <w:color w:val="1F2328"/>
          <w:sz w:val="21"/>
          <w:szCs w:val="21"/>
        </w:rPr>
        <w:t xml:space="preserve">The consolidated twelve-month governance calendar — committee sittings, review-cycle due dates, audit programme, APV, statutory returns and the Annual Statement — is generated from the live document register and published each January as mandated content of PC-GOV-003 (PC-GOV-000 §8.4).</w:t>
      </w:r>
    </w:p>
    <w:p>
      <w:pPr>
        <w:pStyle w:val="Heading2"/>
        <w:spacing w:after="140" w:before="300"/>
      </w:pPr>
      <w:r>
        <w:rPr>
          <w:rFonts w:ascii="Arial" w:cs="Arial" w:eastAsia="Arial" w:hAnsi="Arial"/>
          <w:b/>
          <w:bCs/>
          <w:color w:val="1E4B50"/>
          <w:sz w:val="24"/>
          <w:szCs w:val="24"/>
        </w:rPr>
        <w:t xml:space="preserve">2.6   </w:t>
      </w:r>
      <w:r>
        <w:rPr>
          <w:rFonts w:ascii="Arial" w:cs="Arial" w:eastAsia="Arial" w:hAnsi="Arial"/>
          <w:b/>
          <w:bCs/>
          <w:color w:val="1F2328"/>
          <w:sz w:val="24"/>
          <w:szCs w:val="24"/>
        </w:rPr>
        <w:t xml:space="preserve">Programme reporting and KPIs</w:t>
      </w:r>
    </w:p>
    <w:p>
      <w:pPr>
        <w:spacing w:after="160" w:line="276"/>
        <w:jc w:val="both"/>
      </w:pPr>
      <w:r>
        <w:rPr>
          <w:rFonts w:ascii="Georgia" w:cs="Georgia" w:eastAsia="Georgia" w:hAnsi="Georgia"/>
          <w:color w:val="1F2328"/>
          <w:sz w:val="21"/>
          <w:szCs w:val="21"/>
        </w:rPr>
        <w:t xml:space="preserve">The PMO issues a one-page monthly report to the Programme Board: RAG per phase, gate readiness, top five risks, decisions required. Programme KPIs: (i) documents approved vs schedule (target ≥ 90% on time); (ii) first-pass approval rate (target ≥ 80% — a lower rate means drafting quality, a higher rate means insufficient challenge); (iii) cross-reference defects found at phase close (target: trending to zero); (iv) register population within 90 days (O2, binary); (v) gate slippage (target: no gate slips more than one reporting period without a Board-approved recovery plan).</w:t>
      </w:r>
    </w:p>
    <w:p>
      <w:r>
        <w:br w:type="page"/>
      </w:r>
    </w:p>
    <w:p>
      <w:pPr>
        <w:pStyle w:val="Heading1"/>
        <w:pBdr>
          <w:bottom w:val="single" w:color="1E4B50" w:sz="6"/>
        </w:pBdr>
        <w:spacing w:after="200" w:before="420"/>
      </w:pPr>
      <w:r>
        <w:rPr>
          <w:rFonts w:ascii="Arial" w:cs="Arial" w:eastAsia="Arial" w:hAnsi="Arial"/>
          <w:b/>
          <w:bCs/>
          <w:color w:val="1E4B50"/>
          <w:sz w:val="30"/>
          <w:szCs w:val="30"/>
        </w:rPr>
        <w:t xml:space="preserve">PART 3   </w:t>
      </w:r>
      <w:r>
        <w:rPr>
          <w:rFonts w:ascii="Arial" w:cs="Arial" w:eastAsia="Arial" w:hAnsi="Arial"/>
          <w:b/>
          <w:bCs/>
          <w:color w:val="1F2328"/>
          <w:sz w:val="30"/>
          <w:szCs w:val="30"/>
        </w:rPr>
        <w:t xml:space="preserve">Implementation Roadmap</w:t>
      </w:r>
    </w:p>
    <w:p>
      <w:pPr>
        <w:pStyle w:val="Heading2"/>
        <w:spacing w:after="140" w:before="300"/>
      </w:pPr>
      <w:r>
        <w:rPr>
          <w:rFonts w:ascii="Arial" w:cs="Arial" w:eastAsia="Arial" w:hAnsi="Arial"/>
          <w:b/>
          <w:bCs/>
          <w:color w:val="1E4B50"/>
          <w:sz w:val="24"/>
          <w:szCs w:val="24"/>
        </w:rPr>
        <w:t xml:space="preserve">3.1   </w:t>
      </w:r>
      <w:r>
        <w:rPr>
          <w:rFonts w:ascii="Arial" w:cs="Arial" w:eastAsia="Arial" w:hAnsi="Arial"/>
          <w:b/>
          <w:bCs/>
          <w:color w:val="1F2328"/>
          <w:sz w:val="24"/>
          <w:szCs w:val="24"/>
        </w:rPr>
        <w:t xml:space="preserve">Phasing, dependencies and critical path</w:t>
      </w:r>
    </w:p>
    <w:p>
      <w:pPr>
        <w:spacing w:after="160" w:line="276"/>
        <w:jc w:val="both"/>
      </w:pPr>
      <w:r>
        <w:rPr>
          <w:rFonts w:ascii="Georgia" w:cs="Georgia" w:eastAsia="Georgia" w:hAnsi="Georgia"/>
          <w:color w:val="1F2328"/>
          <w:sz w:val="21"/>
          <w:szCs w:val="21"/>
        </w:rPr>
        <w:t xml:space="preserve">The roadmap operationalises PC-GOV-000 §17 with dates, effort and dependencies. The critical path runs </w:t>
      </w:r>
      <w:r>
        <w:rPr>
          <w:rFonts w:ascii="Georgia" w:cs="Georgia" w:eastAsia="Georgia" w:hAnsi="Georgia"/>
          <w:b/>
          <w:bCs/>
          <w:color w:val="1F2328"/>
          <w:sz w:val="21"/>
          <w:szCs w:val="21"/>
        </w:rPr>
        <w:t xml:space="preserve">G1 → Phase 2 (incl. PC-QMS-008/009) → M365 platform → registers → clinical suite + instruks tranche → G3 care-readiness</w:t>
      </w:r>
      <w:r>
        <w:rPr>
          <w:rFonts w:ascii="Georgia" w:cs="Georgia" w:eastAsia="Georgia" w:hAnsi="Georgia"/>
          <w:color w:val="1F2328"/>
          <w:sz w:val="21"/>
          <w:szCs w:val="21"/>
        </w:rPr>
        <w:t xml:space="preserve">. Everything else can flex; the path to safely delivering care cannot. Assumed start: on Board approval at G1, taken as Q3 2026 for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2900"/>
        <w:gridCol w:w="1250"/>
        <w:gridCol w:w="1300"/>
        <w:gridCol w:w="1300"/>
        <w:gridCol w:w="1426"/>
      </w:tblGrid>
      <w:tr>
        <w:trPr>
          <w:cantSplit/>
          <w:tblHeader/>
        </w:trPr>
        <w:tc>
          <w:tcPr>
            <w:tcW w:type="dxa" w:w="8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Phase</w:t>
            </w:r>
          </w:p>
        </w:tc>
        <w:tc>
          <w:tcPr>
            <w:tcW w:type="dxa" w:w="2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Scope</w:t>
            </w:r>
          </w:p>
        </w:tc>
        <w:tc>
          <w:tcPr>
            <w:tcW w:type="dxa" w:w="12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Window</w:t>
            </w:r>
          </w:p>
        </w:tc>
        <w:tc>
          <w:tcPr>
            <w:tcW w:type="dxa" w:w="1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Effort (days)</w:t>
            </w:r>
          </w:p>
        </w:tc>
        <w:tc>
          <w:tcPr>
            <w:tcW w:type="dxa" w:w="1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Est. pages</w:t>
            </w:r>
          </w:p>
        </w:tc>
        <w:tc>
          <w:tcPr>
            <w:tcW w:type="dxa" w:w="14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Depends on</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 suite PC-GOV-001…014 + PC-QMS-008/009</w:t>
            </w:r>
          </w:p>
        </w:tc>
        <w:tc>
          <w:tcPr>
            <w:tcW w:type="dxa" w:w="12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Q3 2026</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38</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320</w:t>
            </w:r>
          </w:p>
        </w:tc>
        <w:tc>
          <w:tcPr>
            <w:tcW w:type="dxa" w:w="1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G1</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2b</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M365 platform build (Part 7); register stand-up (§9.8)</w:t>
            </w:r>
          </w:p>
        </w:tc>
        <w:tc>
          <w:tcPr>
            <w:tcW w:type="dxa" w:w="12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Q3 2026</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18</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t>
            </w:r>
          </w:p>
        </w:tc>
        <w:tc>
          <w:tcPr>
            <w:tcW w:type="dxa" w:w="1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PC-QMS-008 draft</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suite PC-HR-001…012 incl. Handbook regeneration from Danish source</w:t>
            </w:r>
          </w:p>
        </w:tc>
        <w:tc>
          <w:tcPr>
            <w:tcW w:type="dxa" w:w="12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Q3–Q4 2026</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30</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300</w:t>
            </w:r>
          </w:p>
        </w:tc>
        <w:tc>
          <w:tcPr>
            <w:tcW w:type="dxa" w:w="1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Phase 2; platform</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suite PC-CLIN-001…011 + instruks tranche (first 12 SOPs)</w:t>
            </w:r>
          </w:p>
        </w:tc>
        <w:tc>
          <w:tcPr>
            <w:tcW w:type="dxa" w:w="12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Q4 2026</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42</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340</w:t>
            </w:r>
          </w:p>
        </w:tc>
        <w:tc>
          <w:tcPr>
            <w:tcW w:type="dxa" w:w="1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Phase 2; HR-010 competency</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5</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suite remainder PC-QMS-001…007, 010, 011</w:t>
            </w:r>
          </w:p>
        </w:tc>
        <w:tc>
          <w:tcPr>
            <w:tcW w:type="dxa" w:w="12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Q4 2026–Q1 2027</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22</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190</w:t>
            </w:r>
          </w:p>
        </w:tc>
        <w:tc>
          <w:tcPr>
            <w:tcW w:type="dxa" w:w="1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Phase 2</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suite PC-IG-001…011 + DIG series (Part 4)</w:t>
            </w:r>
          </w:p>
        </w:tc>
        <w:tc>
          <w:tcPr>
            <w:tcW w:type="dxa" w:w="12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Q1 2027</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26</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230</w:t>
            </w:r>
          </w:p>
        </w:tc>
        <w:tc>
          <w:tcPr>
            <w:tcW w:type="dxa" w:w="1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Platform; Phase 2</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7</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HSE suite PC-HSE-001…010 (AMO consulted)</w:t>
            </w:r>
          </w:p>
        </w:tc>
        <w:tc>
          <w:tcPr>
            <w:tcW w:type="dxa" w:w="12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Q1 2027</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18</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160</w:t>
            </w:r>
          </w:p>
        </w:tc>
        <w:tc>
          <w:tcPr>
            <w:tcW w:type="dxa" w:w="1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Phase 3</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Remaining SOPs, forms, templates, checklists; FIN/FAC/ENV series</w:t>
            </w:r>
          </w:p>
        </w:tc>
        <w:tc>
          <w:tcPr>
            <w:tcW w:type="dxa" w:w="12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Q1–Q2 2027</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36</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400</w:t>
            </w:r>
          </w:p>
        </w:tc>
        <w:tc>
          <w:tcPr>
            <w:tcW w:type="dxa" w:w="1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Parent manuals</w:t>
            </w:r>
          </w:p>
        </w:tc>
      </w:tr>
    </w:tbl>
    <w:p>
      <w:pPr>
        <w:spacing w:after="80"/>
      </w:pPr>
    </w:p>
    <w:p>
      <w:pPr>
        <w:spacing w:after="120"/>
      </w:pPr>
      <w:r>
        <w:rPr>
          <w:rFonts w:ascii="Arial" w:cs="Arial" w:eastAsia="Arial" w:hAnsi="Arial"/>
          <w:color w:val="44515C"/>
          <w:sz w:val="16"/>
          <w:szCs w:val="16"/>
        </w:rPr>
        <w:t xml:space="preserve">Effort = focused drafting/consultation/approval days at consultancy pace, using the Part 12 templates. Estimates are planning aids, not commitments; the PMO re-baselines at each gate.</w:t>
      </w:r>
    </w:p>
    <w:p>
      <w:pPr>
        <w:pStyle w:val="Heading2"/>
        <w:spacing w:after="140" w:before="300"/>
      </w:pPr>
      <w:r>
        <w:rPr>
          <w:rFonts w:ascii="Arial" w:cs="Arial" w:eastAsia="Arial" w:hAnsi="Arial"/>
          <w:b/>
          <w:bCs/>
          <w:color w:val="1E4B50"/>
          <w:sz w:val="24"/>
          <w:szCs w:val="24"/>
        </w:rPr>
        <w:t xml:space="preserve">3.2   </w:t>
      </w:r>
      <w:r>
        <w:rPr>
          <w:rFonts w:ascii="Arial" w:cs="Arial" w:eastAsia="Arial" w:hAnsi="Arial"/>
          <w:b/>
          <w:bCs/>
          <w:color w:val="1F2328"/>
          <w:sz w:val="24"/>
          <w:szCs w:val="24"/>
        </w:rPr>
        <w:t xml:space="preserve">Priority scoring</w:t>
      </w:r>
    </w:p>
    <w:p>
      <w:pPr>
        <w:spacing w:after="160" w:line="276"/>
        <w:jc w:val="both"/>
      </w:pPr>
      <w:r>
        <w:rPr>
          <w:rFonts w:ascii="Georgia" w:cs="Georgia" w:eastAsia="Georgia" w:hAnsi="Georgia"/>
          <w:color w:val="1F2328"/>
          <w:sz w:val="21"/>
          <w:szCs w:val="21"/>
        </w:rPr>
        <w:t xml:space="preserve">Every document carries a priority in Part 4, scored 1–5 on four axes — statutory necessity, care-readiness, tender value, audit dependency — averaged and banded: </w:t>
      </w:r>
      <w:r>
        <w:rPr>
          <w:rFonts w:ascii="Georgia" w:cs="Georgia" w:eastAsia="Georgia" w:hAnsi="Georgia"/>
          <w:b/>
          <w:bCs/>
          <w:color w:val="1F2328"/>
          <w:sz w:val="21"/>
          <w:szCs w:val="21"/>
        </w:rPr>
        <w:t xml:space="preserve">P1 (≥4.0)</w:t>
      </w:r>
      <w:r>
        <w:rPr>
          <w:rFonts w:ascii="Georgia" w:cs="Georgia" w:eastAsia="Georgia" w:hAnsi="Georgia"/>
          <w:color w:val="1F2328"/>
          <w:sz w:val="21"/>
          <w:szCs w:val="21"/>
        </w:rPr>
        <w:t xml:space="preserve"> must exist before care delivery or is statutory now; </w:t>
      </w:r>
      <w:r>
        <w:rPr>
          <w:rFonts w:ascii="Georgia" w:cs="Georgia" w:eastAsia="Georgia" w:hAnsi="Georgia"/>
          <w:b/>
          <w:bCs/>
          <w:color w:val="1F2328"/>
          <w:sz w:val="21"/>
          <w:szCs w:val="21"/>
        </w:rPr>
        <w:t xml:space="preserve">P2 (3.0–3.9)</w:t>
      </w:r>
      <w:r>
        <w:rPr>
          <w:rFonts w:ascii="Georgia" w:cs="Georgia" w:eastAsia="Georgia" w:hAnsi="Georgia"/>
          <w:color w:val="1F2328"/>
          <w:sz w:val="21"/>
          <w:szCs w:val="21"/>
        </w:rPr>
        <w:t xml:space="preserve"> required within the first operating quarter; </w:t>
      </w:r>
      <w:r>
        <w:rPr>
          <w:rFonts w:ascii="Georgia" w:cs="Georgia" w:eastAsia="Georgia" w:hAnsi="Georgia"/>
          <w:b/>
          <w:bCs/>
          <w:color w:val="1F2328"/>
          <w:sz w:val="21"/>
          <w:szCs w:val="21"/>
        </w:rPr>
        <w:t xml:space="preserve">P3 (&lt;3.0)</w:t>
      </w:r>
      <w:r>
        <w:rPr>
          <w:rFonts w:ascii="Georgia" w:cs="Georgia" w:eastAsia="Georgia" w:hAnsi="Georgia"/>
          <w:color w:val="1F2328"/>
          <w:sz w:val="21"/>
          <w:szCs w:val="21"/>
        </w:rPr>
        <w:t xml:space="preserve"> required for full library. The instruks tranche, delegation machinery, complaints route, GDPR core and the registers dominate P1 — deliberately: they are what STPS, Datatilsynet and municipal evaluators test first.</w:t>
      </w:r>
    </w:p>
    <w:p>
      <w:pPr>
        <w:pStyle w:val="Heading2"/>
        <w:spacing w:after="140" w:before="300"/>
      </w:pPr>
      <w:r>
        <w:rPr>
          <w:rFonts w:ascii="Arial" w:cs="Arial" w:eastAsia="Arial" w:hAnsi="Arial"/>
          <w:b/>
          <w:bCs/>
          <w:color w:val="1E4B50"/>
          <w:sz w:val="24"/>
          <w:szCs w:val="24"/>
        </w:rPr>
        <w:t xml:space="preserve">3.3   </w:t>
      </w:r>
      <w:r>
        <w:rPr>
          <w:rFonts w:ascii="Arial" w:cs="Arial" w:eastAsia="Arial" w:hAnsi="Arial"/>
          <w:b/>
          <w:bCs/>
          <w:color w:val="1F2328"/>
          <w:sz w:val="24"/>
          <w:szCs w:val="24"/>
        </w:rPr>
        <w:t xml:space="preserve">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300"/>
        <w:gridCol w:w="2726"/>
      </w:tblGrid>
      <w:tr>
        <w:trPr>
          <w:cantSplit/>
          <w:tblHeader/>
        </w:trPr>
        <w:tc>
          <w:tcPr>
            <w:tcW w:type="dxa" w:w="1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5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Milestone</w:t>
            </w:r>
          </w:p>
        </w:tc>
        <w:tc>
          <w:tcPr>
            <w:tcW w:type="dxa" w:w="2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Target</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M1</w:t>
            </w:r>
          </w:p>
        </w:tc>
        <w:tc>
          <w:tcPr>
            <w:tcW w:type="dxa" w:w="5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G1 — PCOS approved; programme chartered</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Q3 2026, week 1</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M2</w:t>
            </w:r>
          </w:p>
        </w:tc>
        <w:tc>
          <w:tcPr>
            <w:tcW w:type="dxa" w:w="5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PC-QMS-008/009 in force; platform live; registers stood up</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Q3 2026 + 8 weeks</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M3</w:t>
            </w:r>
          </w:p>
        </w:tc>
        <w:tc>
          <w:tcPr>
            <w:tcW w:type="dxa" w:w="5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 suite approved (G2)</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End Q3 2026</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M4</w:t>
            </w:r>
          </w:p>
        </w:tc>
        <w:tc>
          <w:tcPr>
            <w:tcW w:type="dxa" w:w="5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Handbook v1.0 regenerated and issued</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Mid Q4 2026</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M5</w:t>
            </w:r>
          </w:p>
        </w:tc>
        <w:tc>
          <w:tcPr>
            <w:tcW w:type="dxa" w:w="5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suite + instruks tranche in force (G3 care-readiness)</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End Q4 2026</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M6</w:t>
            </w:r>
          </w:p>
        </w:tc>
        <w:tc>
          <w:tcPr>
            <w:tcW w:type="dxa" w:w="5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and IG suites in force</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End Q1 2027</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M7</w:t>
            </w:r>
          </w:p>
        </w:tc>
        <w:tc>
          <w:tcPr>
            <w:tcW w:type="dxa" w:w="5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Full library in force (G4); cross-reference verification passed</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End Q2 2027</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M8</w:t>
            </w:r>
          </w:p>
        </w:tc>
        <w:tc>
          <w:tcPr>
            <w:tcW w:type="dxa" w:w="5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First internal audit cycle complete; first Management Review</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Q3–Q4 2027</w:t>
            </w:r>
          </w:p>
        </w:tc>
      </w:tr>
      <w:tr>
        <w:trPr>
          <w:cantSplit/>
        </w:trPr>
        <w:tc>
          <w:tcPr>
            <w:tcW w:type="dxa" w:w="1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M9</w:t>
            </w:r>
          </w:p>
        </w:tc>
        <w:tc>
          <w:tcPr>
            <w:tcW w:type="dxa" w:w="5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First Annual Governance &amp; Assurance Statement to Board (G5)</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Q1 2028</w:t>
            </w:r>
          </w:p>
        </w:tc>
      </w:tr>
    </w:tbl>
    <w:p>
      <w:pPr>
        <w:spacing w:after="200"/>
      </w:pPr>
    </w:p>
    <w:p>
      <w:pPr>
        <w:pStyle w:val="Heading2"/>
        <w:spacing w:after="140" w:before="300"/>
      </w:pPr>
      <w:r>
        <w:rPr>
          <w:rFonts w:ascii="Arial" w:cs="Arial" w:eastAsia="Arial" w:hAnsi="Arial"/>
          <w:b/>
          <w:bCs/>
          <w:color w:val="1E4B50"/>
          <w:sz w:val="24"/>
          <w:szCs w:val="24"/>
        </w:rPr>
        <w:t xml:space="preserve">3.4   </w:t>
      </w:r>
      <w:r>
        <w:rPr>
          <w:rFonts w:ascii="Arial" w:cs="Arial" w:eastAsia="Arial" w:hAnsi="Arial"/>
          <w:b/>
          <w:bCs/>
          <w:color w:val="1F2328"/>
          <w:sz w:val="24"/>
          <w:szCs w:val="24"/>
        </w:rPr>
        <w:t xml:space="preserve">Resource plan</w:t>
      </w:r>
    </w:p>
    <w:p>
      <w:pPr>
        <w:spacing w:after="160" w:line="276"/>
        <w:jc w:val="both"/>
      </w:pPr>
      <w:r>
        <w:rPr>
          <w:rFonts w:ascii="Georgia" w:cs="Georgia" w:eastAsia="Georgia" w:hAnsi="Georgia"/>
          <w:color w:val="1F2328"/>
          <w:sz w:val="21"/>
          <w:szCs w:val="21"/>
        </w:rPr>
        <w:t xml:space="preserve">At current scale the constrained resources are the Head of Clinical Services (clinical suite, instrukser, professional endorsement) and the Quality &amp; Compliance Manager (PMO + document control + quality suite). Mitigations: sequence Phase 5 around Phase 4 rather than parallel; use the Part 12 templates to cut drafting effort ≈ 30%; permit external specialist drafting for FIN and IG series with internal ownership retained (owner reviews, approver approves — ownership is never outsourced). Total programme effort ≈ </w:t>
      </w:r>
      <w:r>
        <w:rPr>
          <w:rFonts w:ascii="Georgia" w:cs="Georgia" w:eastAsia="Georgia" w:hAnsi="Georgia"/>
          <w:b/>
          <w:bCs/>
          <w:color w:val="1F2328"/>
          <w:sz w:val="21"/>
          <w:szCs w:val="21"/>
        </w:rPr>
        <w:t xml:space="preserve">230 focused days</w:t>
      </w:r>
      <w:r>
        <w:rPr>
          <w:rFonts w:ascii="Georgia" w:cs="Georgia" w:eastAsia="Georgia" w:hAnsi="Georgia"/>
          <w:color w:val="1F2328"/>
          <w:sz w:val="21"/>
          <w:szCs w:val="21"/>
        </w:rPr>
        <w:t xml:space="preserve"> across roles over ≈ 10 months, peaking in Q4 2026.</w:t>
      </w:r>
    </w:p>
    <w:p>
      <w:pPr>
        <w:pStyle w:val="Heading2"/>
        <w:spacing w:after="140" w:before="300"/>
      </w:pPr>
      <w:r>
        <w:rPr>
          <w:rFonts w:ascii="Arial" w:cs="Arial" w:eastAsia="Arial" w:hAnsi="Arial"/>
          <w:b/>
          <w:bCs/>
          <w:color w:val="1E4B50"/>
          <w:sz w:val="24"/>
          <w:szCs w:val="24"/>
        </w:rPr>
        <w:t xml:space="preserve">3.5   </w:t>
      </w:r>
      <w:r>
        <w:rPr>
          <w:rFonts w:ascii="Arial" w:cs="Arial" w:eastAsia="Arial" w:hAnsi="Arial"/>
          <w:b/>
          <w:bCs/>
          <w:color w:val="1F2328"/>
          <w:sz w:val="24"/>
          <w:szCs w:val="24"/>
        </w:rPr>
        <w:t xml:space="preserve">Implementation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3400"/>
        <w:gridCol w:w="900"/>
        <w:gridCol w:w="3876"/>
      </w:tblGrid>
      <w:tr>
        <w:trPr>
          <w:cantSplit/>
          <w:tblHeader/>
        </w:trPr>
        <w:tc>
          <w:tcPr>
            <w:tcW w:type="dxa" w:w="8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Risk</w:t>
            </w:r>
          </w:p>
        </w:tc>
        <w:tc>
          <w:tcPr>
            <w:tcW w:type="dxa" w:w="3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Description</w:t>
            </w:r>
          </w:p>
        </w:tc>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Rating</w:t>
            </w:r>
          </w:p>
        </w:tc>
        <w:tc>
          <w:tcPr>
            <w:tcW w:type="dxa" w:w="38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Mitigation</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IR-1</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Founder/key-person bandwidth: same people deliver care start-up and governance build</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High</w:t>
            </w:r>
          </w:p>
        </w:tc>
        <w:tc>
          <w:tcPr>
            <w:tcW w:type="dxa" w:w="3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Gate discipline; external drafting support (3.4); Board tracks capacity monthly.</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IR-2</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delivery begins before G3 clinical readiness under commercial pressure</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High</w:t>
            </w:r>
          </w:p>
        </w:tc>
        <w:tc>
          <w:tcPr>
            <w:tcW w:type="dxa" w:w="3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G3 is a hard gate owned by the Board; P4 principle; STPS registration timed to G3.</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IR-3</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Register discipline decays after stand-up (parallel spreadsheets emerge)</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Medium</w:t>
            </w:r>
          </w:p>
        </w:tc>
        <w:tc>
          <w:tcPr>
            <w:tcW w:type="dxa" w:w="3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 principle; platform is the only permitted home; internal audit samples register currency.</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IR-4</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Template/design drift produces inconsistent documents</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Medium</w:t>
            </w:r>
          </w:p>
        </w:tc>
        <w:tc>
          <w:tcPr>
            <w:tcW w:type="dxa" w:w="3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Part 6 design language + Part 12 templates mandatory; PMO QA step in workflow (Part 5).</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IR-5</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Cross-reference debt accumulates across phases</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Medium</w:t>
            </w:r>
          </w:p>
        </w:tc>
        <w:tc>
          <w:tcPr>
            <w:tcW w:type="dxa" w:w="3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Phase-close verification (PC-GOV-000 §17.2); forward references logged in a debt register.</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IR-6</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Statutory change mid-programme (e.g. NIS2 secondary legislation)</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Medium</w:t>
            </w:r>
          </w:p>
        </w:tc>
        <w:tc>
          <w:tcPr>
            <w:tcW w:type="dxa" w:w="3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Compliance obligations register monitored monthly; change triggers per PC-GOV-000 §15.2.</w:t>
            </w:r>
          </w:p>
        </w:tc>
      </w:tr>
      <w:tr>
        <w:trPr>
          <w:cantSplit/>
        </w:trPr>
        <w:tc>
          <w:tcPr>
            <w:tcW w:type="dxa" w:w="8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IR-7</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M365 platform mis-configured against metadata standard</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Low</w:t>
            </w:r>
          </w:p>
        </w:tc>
        <w:tc>
          <w:tcPr>
            <w:tcW w:type="dxa" w:w="3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Part 7 build validated against Part 5 metadata before G2.</w:t>
            </w:r>
          </w:p>
        </w:tc>
      </w:tr>
    </w:tbl>
    <w:p>
      <w:pPr>
        <w:spacing w:after="80"/>
      </w:pPr>
    </w:p>
    <w:p>
      <w:pPr>
        <w:pStyle w:val="Heading2"/>
        <w:spacing w:after="140" w:before="300"/>
      </w:pPr>
      <w:r>
        <w:rPr>
          <w:rFonts w:ascii="Arial" w:cs="Arial" w:eastAsia="Arial" w:hAnsi="Arial"/>
          <w:b/>
          <w:bCs/>
          <w:color w:val="1E4B50"/>
          <w:sz w:val="24"/>
          <w:szCs w:val="24"/>
        </w:rPr>
        <w:t xml:space="preserve">3.6   </w:t>
      </w:r>
      <w:r>
        <w:rPr>
          <w:rFonts w:ascii="Arial" w:cs="Arial" w:eastAsia="Arial" w:hAnsi="Arial"/>
          <w:b/>
          <w:bCs/>
          <w:color w:val="1F2328"/>
          <w:sz w:val="24"/>
          <w:szCs w:val="24"/>
        </w:rPr>
        <w:t xml:space="preserve">Implementation heatmap</w:t>
      </w:r>
    </w:p>
    <w:p>
      <w:pPr>
        <w:spacing w:after="160" w:line="276"/>
        <w:jc w:val="both"/>
      </w:pPr>
      <w:r>
        <w:rPr>
          <w:rFonts w:ascii="Georgia" w:cs="Georgia" w:eastAsia="Georgia" w:hAnsi="Georgia"/>
          <w:color w:val="1F2328"/>
          <w:sz w:val="21"/>
          <w:szCs w:val="21"/>
        </w:rPr>
        <w:t xml:space="preserve">PMO maintains a phase × readiness heatmap (documents, platform, people, registers, approvals) reported RAG monthly to the Programme Board; the heatmap is generated from the live register, not hand-built (P2). At issue, all cells are Red or Amber by definition — the honest Level 1 operational baseline of §1.5 — and the heatmap's journey to Green </w:t>
      </w:r>
      <w:r>
        <w:rPr>
          <w:rFonts w:ascii="Georgia" w:cs="Georgia" w:eastAsia="Georgia" w:hAnsi="Georgia"/>
          <w:i/>
          <w:iCs/>
          <w:color w:val="1F2328"/>
          <w:sz w:val="21"/>
          <w:szCs w:val="21"/>
        </w:rPr>
        <w:t xml:space="preserve">is</w:t>
      </w:r>
      <w:r>
        <w:rPr>
          <w:rFonts w:ascii="Georgia" w:cs="Georgia" w:eastAsia="Georgia" w:hAnsi="Georgia"/>
          <w:color w:val="1F2328"/>
          <w:sz w:val="21"/>
          <w:szCs w:val="21"/>
        </w:rPr>
        <w:t xml:space="preserve"> the programme.</w:t>
      </w:r>
    </w:p>
    <w:p>
      <w:r>
        <w:br w:type="page"/>
      </w:r>
    </w:p>
    <w:p>
      <w:pPr>
        <w:pStyle w:val="Heading1"/>
        <w:pBdr>
          <w:bottom w:val="single" w:color="1E4B50" w:sz="6"/>
        </w:pBdr>
        <w:spacing w:after="200" w:before="420"/>
      </w:pPr>
      <w:r>
        <w:rPr>
          <w:rFonts w:ascii="Arial" w:cs="Arial" w:eastAsia="Arial" w:hAnsi="Arial"/>
          <w:b/>
          <w:bCs/>
          <w:color w:val="1E4B50"/>
          <w:sz w:val="30"/>
          <w:szCs w:val="30"/>
        </w:rPr>
        <w:t xml:space="preserve">PART 4   </w:t>
      </w:r>
      <w:r>
        <w:rPr>
          <w:rFonts w:ascii="Arial" w:cs="Arial" w:eastAsia="Arial" w:hAnsi="Arial"/>
          <w:b/>
          <w:bCs/>
          <w:color w:val="1F2328"/>
          <w:sz w:val="30"/>
          <w:szCs w:val="30"/>
        </w:rPr>
        <w:t xml:space="preserve">Master Document Library</w:t>
      </w:r>
    </w:p>
    <w:p>
      <w:pPr>
        <w:pStyle w:val="Heading2"/>
        <w:spacing w:after="140" w:before="300"/>
      </w:pPr>
      <w:r>
        <w:rPr>
          <w:rFonts w:ascii="Arial" w:cs="Arial" w:eastAsia="Arial" w:hAnsi="Arial"/>
          <w:b/>
          <w:bCs/>
          <w:color w:val="1E4B50"/>
          <w:sz w:val="24"/>
          <w:szCs w:val="24"/>
        </w:rPr>
        <w:t xml:space="preserve">4.1   </w:t>
      </w:r>
      <w:r>
        <w:rPr>
          <w:rFonts w:ascii="Arial" w:cs="Arial" w:eastAsia="Arial" w:hAnsi="Arial"/>
          <w:b/>
          <w:bCs/>
          <w:color w:val="1F2328"/>
          <w:sz w:val="24"/>
          <w:szCs w:val="24"/>
        </w:rPr>
        <w:t xml:space="preserve">Method: review, challenge, expand</w:t>
      </w:r>
    </w:p>
    <w:p>
      <w:pPr>
        <w:spacing w:after="160" w:line="276"/>
        <w:jc w:val="both"/>
      </w:pPr>
      <w:r>
        <w:rPr>
          <w:rFonts w:ascii="Georgia" w:cs="Georgia" w:eastAsia="Georgia" w:hAnsi="Georgia"/>
          <w:color w:val="1F2328"/>
          <w:sz w:val="21"/>
          <w:szCs w:val="21"/>
        </w:rPr>
        <w:t xml:space="preserve">The register at PC-GOV-000 §9 (74 documents) was re-challenged against the full profile of a premium Danish home-care provider across seventeen mandated categories. The challenge found the v1.1 register </w:t>
      </w:r>
      <w:r>
        <w:rPr>
          <w:rFonts w:ascii="Georgia" w:cs="Georgia" w:eastAsia="Georgia" w:hAnsi="Georgia"/>
          <w:b/>
          <w:bCs/>
          <w:color w:val="1F2328"/>
          <w:sz w:val="21"/>
          <w:szCs w:val="21"/>
        </w:rPr>
        <w:t xml:space="preserve">sound but incomplete in four operational areas</w:t>
      </w:r>
      <w:r>
        <w:rPr>
          <w:rFonts w:ascii="Georgia" w:cs="Georgia" w:eastAsia="Georgia" w:hAnsi="Georgia"/>
          <w:color w:val="1F2328"/>
          <w:sz w:val="21"/>
          <w:szCs w:val="21"/>
        </w:rPr>
        <w:t xml:space="preserve"> that only become visible when the library is viewed as a running business rather than a governance design: money in motion (financial procedures beneath PC-GOV-011), technology in daily use (the EOJ care platform and devices), the physical operation (vehicles, equipment, aids, premises) and environmental duties (clinical waste, sustainability). Nineteen documents are added; </w:t>
      </w:r>
      <w:r>
        <w:rPr>
          <w:rFonts w:ascii="Georgia" w:cs="Georgia" w:eastAsia="Georgia" w:hAnsi="Georgia"/>
          <w:b/>
          <w:bCs/>
          <w:color w:val="1F2328"/>
          <w:sz w:val="21"/>
          <w:szCs w:val="21"/>
        </w:rPr>
        <w:t xml:space="preserve">none is removed</w:t>
      </w:r>
      <w:r>
        <w:rPr>
          <w:rFonts w:ascii="Georgia" w:cs="Georgia" w:eastAsia="Georgia" w:hAnsi="Georgia"/>
          <w:color w:val="1F2328"/>
          <w:sz w:val="21"/>
          <w:szCs w:val="21"/>
        </w:rPr>
        <w:t xml:space="preserve"> — the audit-hardened v1.1 core survives a second challenge intact, which is itself assurance of the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4B50" w:sz="18"/>
              <w:bottom w:val="none" w:color="FFFFFF" w:sz="0"/>
              <w:right w:val="none" w:color="FFFFFF" w:sz="0"/>
            </w:tcBorders>
            <w:shd w:fill="F4F5F4" w:color="auto" w:val="clear"/>
            <w:tcMar>
              <w:top w:type="dxa" w:w="160"/>
              <w:left w:type="dxa" w:w="200"/>
              <w:bottom w:type="dxa" w:w="160"/>
              <w:right w:type="dxa" w:w="200"/>
            </w:tcMar>
          </w:tcPr>
          <w:p>
            <w:pPr>
              <w:spacing w:after="0" w:line="264"/>
            </w:pPr>
            <w:r>
              <w:rPr>
                <w:rFonts w:ascii="Georgia" w:cs="Georgia" w:eastAsia="Georgia" w:hAnsi="Georgia"/>
                <w:b/>
                <w:bCs/>
                <w:color w:val="1F2328"/>
                <w:sz w:val="20"/>
                <w:szCs w:val="20"/>
              </w:rPr>
              <w:t xml:space="preserve">Governance handling of this expansion.</w:t>
            </w:r>
            <w:r>
              <w:rPr>
                <w:rFonts w:ascii="Georgia" w:cs="Georgia" w:eastAsia="Georgia" w:hAnsi="Georgia"/>
                <w:color w:val="1F2328"/>
                <w:sz w:val="20"/>
                <w:szCs w:val="20"/>
              </w:rPr>
              <w:t xml:space="preserve"> PCOS cannot amend PC-GOV-000. The nineteen additions below are </w:t>
            </w:r>
            <w:r>
              <w:rPr>
                <w:rFonts w:ascii="Georgia" w:cs="Georgia" w:eastAsia="Georgia" w:hAnsi="Georgia"/>
                <w:i/>
                <w:iCs/>
                <w:color w:val="1F2328"/>
                <w:sz w:val="20"/>
                <w:szCs w:val="20"/>
              </w:rPr>
              <w:t xml:space="preserve">proposed register entries</w:t>
            </w:r>
            <w:r>
              <w:rPr>
                <w:rFonts w:ascii="Georgia" w:cs="Georgia" w:eastAsia="Georgia" w:hAnsi="Georgia"/>
                <w:color w:val="1F2328"/>
                <w:sz w:val="20"/>
                <w:szCs w:val="20"/>
              </w:rPr>
              <w:t xml:space="preserve">, adopted formally by issuing PC-GOV-000 v1.2 at its next revision (Recommendation R1). Until then they carry provisional status and may be drafted but not issued at v1.0. Approval authorities and review cycles for the existing 74 documents remain exactly as fixed in PC-GOV-000 §9 and are deliberately not restated here (single-source rule).</w:t>
            </w:r>
          </w:p>
        </w:tc>
      </w:tr>
    </w:tbl>
    <w:p>
      <w:pPr>
        <w:spacing w:after="200"/>
      </w:pPr>
    </w:p>
    <w:p>
      <w:pPr>
        <w:pStyle w:val="Heading2"/>
        <w:spacing w:after="140" w:before="300"/>
      </w:pPr>
      <w:r>
        <w:rPr>
          <w:rFonts w:ascii="Arial" w:cs="Arial" w:eastAsia="Arial" w:hAnsi="Arial"/>
          <w:b/>
          <w:bCs/>
          <w:color w:val="1E4B50"/>
          <w:sz w:val="24"/>
          <w:szCs w:val="24"/>
        </w:rPr>
        <w:t xml:space="preserve">4.2   </w:t>
      </w:r>
      <w:r>
        <w:rPr>
          <w:rFonts w:ascii="Arial" w:cs="Arial" w:eastAsia="Arial" w:hAnsi="Arial"/>
          <w:b/>
          <w:bCs/>
          <w:color w:val="1F2328"/>
          <w:sz w:val="24"/>
          <w:szCs w:val="24"/>
        </w:rPr>
        <w:t xml:space="preserve">Proposed additions — register-style entries</w:t>
      </w:r>
    </w:p>
    <w:p>
      <w:pPr>
        <w:spacing w:after="160" w:line="276"/>
        <w:jc w:val="both"/>
      </w:pPr>
      <w:r>
        <w:rPr>
          <w:rFonts w:ascii="Georgia" w:cs="Georgia" w:eastAsia="Georgia" w:hAnsi="Georgia"/>
          <w:color w:val="1F2328"/>
          <w:sz w:val="21"/>
          <w:szCs w:val="21"/>
        </w:rPr>
        <w:t xml:space="preserve">Four new domain codes are proposed: </w:t>
      </w:r>
      <w:r>
        <w:rPr>
          <w:rFonts w:ascii="Georgia" w:cs="Georgia" w:eastAsia="Georgia" w:hAnsi="Georgia"/>
          <w:b/>
          <w:bCs/>
          <w:color w:val="1F2328"/>
          <w:sz w:val="21"/>
          <w:szCs w:val="21"/>
        </w:rPr>
        <w:t xml:space="preserve">FIN</w:t>
      </w:r>
      <w:r>
        <w:rPr>
          <w:rFonts w:ascii="Georgia" w:cs="Georgia" w:eastAsia="Georgia" w:hAnsi="Georgia"/>
          <w:color w:val="1F2328"/>
          <w:sz w:val="21"/>
          <w:szCs w:val="21"/>
        </w:rPr>
        <w:t xml:space="preserve"> (financial procedures, Tier 3 beneath PC-GOV-011), </w:t>
      </w:r>
      <w:r>
        <w:rPr>
          <w:rFonts w:ascii="Georgia" w:cs="Georgia" w:eastAsia="Georgia" w:hAnsi="Georgia"/>
          <w:b/>
          <w:bCs/>
          <w:color w:val="1F2328"/>
          <w:sz w:val="21"/>
          <w:szCs w:val="21"/>
        </w:rPr>
        <w:t xml:space="preserve">DIG</w:t>
      </w:r>
      <w:r>
        <w:rPr>
          <w:rFonts w:ascii="Georgia" w:cs="Georgia" w:eastAsia="Georgia" w:hAnsi="Georgia"/>
          <w:color w:val="1F2328"/>
          <w:sz w:val="21"/>
          <w:szCs w:val="21"/>
        </w:rPr>
        <w:t xml:space="preserve"> (digital and technology), </w:t>
      </w:r>
      <w:r>
        <w:rPr>
          <w:rFonts w:ascii="Georgia" w:cs="Georgia" w:eastAsia="Georgia" w:hAnsi="Georgia"/>
          <w:b/>
          <w:bCs/>
          <w:color w:val="1F2328"/>
          <w:sz w:val="21"/>
          <w:szCs w:val="21"/>
        </w:rPr>
        <w:t xml:space="preserve">FAC</w:t>
      </w:r>
      <w:r>
        <w:rPr>
          <w:rFonts w:ascii="Georgia" w:cs="Georgia" w:eastAsia="Georgia" w:hAnsi="Georgia"/>
          <w:color w:val="1F2328"/>
          <w:sz w:val="21"/>
          <w:szCs w:val="21"/>
        </w:rPr>
        <w:t xml:space="preserve"> (facilities and fleet) and </w:t>
      </w:r>
      <w:r>
        <w:rPr>
          <w:rFonts w:ascii="Georgia" w:cs="Georgia" w:eastAsia="Georgia" w:hAnsi="Georgia"/>
          <w:b/>
          <w:bCs/>
          <w:color w:val="1F2328"/>
          <w:sz w:val="21"/>
          <w:szCs w:val="21"/>
        </w:rPr>
        <w:t xml:space="preserve">ENV</w:t>
      </w:r>
      <w:r>
        <w:rPr>
          <w:rFonts w:ascii="Georgia" w:cs="Georgia" w:eastAsia="Georgia" w:hAnsi="Georgia"/>
          <w:color w:val="1F2328"/>
          <w:sz w:val="21"/>
          <w:szCs w:val="21"/>
        </w:rPr>
        <w:t xml:space="preserve"> (environment). Additions within existing domains follow their numbering.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700"/>
        <w:gridCol w:w="1600"/>
        <w:gridCol w:w="1100"/>
        <w:gridCol w:w="1026"/>
      </w:tblGrid>
      <w:tr>
        <w:trPr>
          <w:cantSplit/>
          <w:tblHeader/>
        </w:trPr>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31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1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11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Approval</w:t>
            </w:r>
          </w:p>
        </w:tc>
        <w:tc>
          <w:tcPr>
            <w:tcW w:type="dxa" w:w="10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PC-GOV-015</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Regulatory Relations &amp; Inspection Readiness Procedure (STPS, Arbejdstilsynet, municipal tilsyn)</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PC-HR-013</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Mandatory Training Matrix</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PC-CLIN-012</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Deteriorating Citizen &amp; Acute Response Procedure (early warning, ISBAR)</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PC-CLIN-013</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End-of-Life &amp; Terminal Care Procedure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PC-FIN-001</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Budgeting, Forecasting &amp; Management Reporting Procedure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PC-FIN-002</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Purchase-to-Pay &amp; Expenses Procedure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PC-FIN-003</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Payroll Procedure (overenskomst interface)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PC-FIN-004</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Municipal Invoicing &amp; Reconciliation Procedure (frit valg settlement)</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PC-FIN-005</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Anti-Fraud &amp; Financial Irregularity Response Procedure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PC-FIN-006</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Fixed Assets &amp; Equipment Finance Procedure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PC-DIG-001</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Digital &amp; Technology Strategy</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PC-DIG-002</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Platform (EOJ) Administration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PC-DIG-003</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IT Change &amp; Release Procedure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PC-DIG-004</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Mobile Device &amp; Remote Working Standard</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PC-FAC-001</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Premises &amp; Facilities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 Manager</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PC-FAC-002</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Vehicle Fleet &amp; Driving Policy</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 Manager</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PC-FAC-003</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Equipment &amp; Aids (hjælpemidler) Management Procedure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 Manager</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PC-ENV-001</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Environmental &amp; Sustainability Policy</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 Manager</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PC-ENV-002</w:t>
            </w:r>
          </w:p>
        </w:tc>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&amp; Household Waste Handling Procedure (incl. sharps)</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bl>
    <w:p>
      <w:pPr>
        <w:spacing w:after="80"/>
      </w:pPr>
    </w:p>
    <w:p>
      <w:pPr>
        <w:spacing w:after="160" w:line="276"/>
        <w:jc w:val="both"/>
      </w:pPr>
      <w:r>
        <w:rPr>
          <w:rFonts w:ascii="Georgia" w:cs="Georgia" w:eastAsia="Georgia" w:hAnsi="Georgia"/>
          <w:color w:val="1F2328"/>
          <w:sz w:val="21"/>
          <w:szCs w:val="21"/>
        </w:rPr>
        <w:t xml:space="preserve">Boundary rules for the new domains (single-source): signing and spending limits remain in PC-GOV-005/006; information security policy remains in PC-IG-003 (DIG documents implement, never restate); vehicle </w:t>
      </w:r>
      <w:r>
        <w:rPr>
          <w:rFonts w:ascii="Georgia" w:cs="Georgia" w:eastAsia="Georgia" w:hAnsi="Georgia"/>
          <w:i/>
          <w:iCs/>
          <w:color w:val="1F2328"/>
          <w:sz w:val="21"/>
          <w:szCs w:val="21"/>
        </w:rPr>
        <w:t xml:space="preserve">safety</w:t>
      </w:r>
      <w:r>
        <w:rPr>
          <w:rFonts w:ascii="Georgia" w:cs="Georgia" w:eastAsia="Georgia" w:hAnsi="Georgia"/>
          <w:color w:val="1F2328"/>
          <w:sz w:val="21"/>
          <w:szCs w:val="21"/>
        </w:rPr>
        <w:t xml:space="preserve"> duties interface with PC-HSE-001; waste handling interfaces with PC-CLIN-007 infection control. Each new document's header will state its boundary.</w:t>
      </w:r>
    </w:p>
    <w:p>
      <w:pPr>
        <w:pStyle w:val="Heading2"/>
        <w:spacing w:after="140" w:before="300"/>
      </w:pPr>
      <w:r>
        <w:rPr>
          <w:rFonts w:ascii="Arial" w:cs="Arial" w:eastAsia="Arial" w:hAnsi="Arial"/>
          <w:b/>
          <w:bCs/>
          <w:color w:val="1E4B50"/>
          <w:sz w:val="24"/>
          <w:szCs w:val="24"/>
        </w:rPr>
        <w:t xml:space="preserve">4.3   </w:t>
      </w:r>
      <w:r>
        <w:rPr>
          <w:rFonts w:ascii="Arial" w:cs="Arial" w:eastAsia="Arial" w:hAnsi="Arial"/>
          <w:b/>
          <w:bCs/>
          <w:color w:val="1F2328"/>
          <w:sz w:val="24"/>
          <w:szCs w:val="24"/>
        </w:rPr>
        <w:t xml:space="preserve">Category cross-walk</w:t>
      </w:r>
    </w:p>
    <w:p>
      <w:pPr>
        <w:spacing w:after="160" w:line="276"/>
        <w:jc w:val="both"/>
      </w:pPr>
      <w:r>
        <w:rPr>
          <w:rFonts w:ascii="Georgia" w:cs="Georgia" w:eastAsia="Georgia" w:hAnsi="Georgia"/>
          <w:color w:val="1F2328"/>
          <w:sz w:val="21"/>
          <w:szCs w:val="21"/>
        </w:rPr>
        <w:t xml:space="preserve">The seventeen mandated categories map onto the domain suites as follows. Several categories are governed </w:t>
      </w:r>
      <w:r>
        <w:rPr>
          <w:rFonts w:ascii="Georgia" w:cs="Georgia" w:eastAsia="Georgia" w:hAnsi="Georgia"/>
          <w:i/>
          <w:iCs/>
          <w:color w:val="1F2328"/>
          <w:sz w:val="21"/>
          <w:szCs w:val="21"/>
        </w:rPr>
        <w:t xml:space="preserve">views</w:t>
      </w:r>
      <w:r>
        <w:rPr>
          <w:rFonts w:ascii="Georgia" w:cs="Georgia" w:eastAsia="Georgia" w:hAnsi="Georgia"/>
          <w:color w:val="1F2328"/>
          <w:sz w:val="21"/>
          <w:szCs w:val="21"/>
        </w:rPr>
        <w:t xml:space="preserve"> across suites rather than suites themselves — the correct design, since creating a manual per category would violate the single-source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6600"/>
      </w:tblGrid>
      <w:tr>
        <w:trPr>
          <w:cantSplit/>
          <w:tblHeader/>
        </w:trPr>
        <w:tc>
          <w:tcPr>
            <w:tcW w:type="dxa" w:w="24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Category</w:t>
            </w:r>
          </w:p>
        </w:tc>
        <w:tc>
          <w:tcPr>
            <w:tcW w:type="dxa" w:w="6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Governed by</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 Governance</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 suite (000–015)</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Governance</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 suite (001–013)</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suite (001–013)</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QMS suite (001–011)</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&amp; Safety</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HSE suite (001–010)</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suite (001–011)</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View: PC-GOV-008/009, PC-CLIN-009, risk registers, Part 9</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Finance</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PC-GOV-011 + FIN series (001–006)</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Procurement</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View: PC-QMS-011 supplier control + PC-FIN-002 purchase-to-pay + PC-GOV-005 authority</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Compliance</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View: PC-GOV-010, 013, 015 + compliance obligations register</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OPS series (SOP/FRM/TPL/CHK/REG) + FAC series</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Training</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View: PC-HR-008, 010, 013 + training &amp; competency register</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Patient Safety</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View: PC-CLIN-002, 008, 012 + UTH register + Part 8 clinical dashboard</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Business Continuity</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PC-IG-010 (enterprise BCP), PC-IG-011 (DR) + continuity SOPs</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Digital</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DIG series (001–004) within IG governance</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Facilities</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FAC series (001–003)</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Environmental</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ENV series (001–002)</w:t>
            </w:r>
          </w:p>
        </w:tc>
      </w:tr>
    </w:tbl>
    <w:p>
      <w:pPr>
        <w:spacing w:after="200"/>
      </w:pPr>
    </w:p>
    <w:p>
      <w:pPr>
        <w:pStyle w:val="Heading2"/>
        <w:spacing w:after="140" w:before="300"/>
      </w:pPr>
      <w:r>
        <w:rPr>
          <w:rFonts w:ascii="Arial" w:cs="Arial" w:eastAsia="Arial" w:hAnsi="Arial"/>
          <w:b/>
          <w:bCs/>
          <w:color w:val="1E4B50"/>
          <w:sz w:val="24"/>
          <w:szCs w:val="24"/>
        </w:rPr>
        <w:t xml:space="preserve">4.4   </w:t>
      </w:r>
      <w:r>
        <w:rPr>
          <w:rFonts w:ascii="Arial" w:cs="Arial" w:eastAsia="Arial" w:hAnsi="Arial"/>
          <w:b/>
          <w:bCs/>
          <w:color w:val="1F2328"/>
          <w:sz w:val="24"/>
          <w:szCs w:val="24"/>
        </w:rPr>
        <w:t xml:space="preserve">Production metadata — full library</w:t>
      </w:r>
    </w:p>
    <w:p>
      <w:pPr>
        <w:spacing w:after="160" w:line="276"/>
        <w:jc w:val="both"/>
      </w:pPr>
      <w:r>
        <w:rPr>
          <w:rFonts w:ascii="Georgia" w:cs="Georgia" w:eastAsia="Georgia" w:hAnsi="Georgia"/>
          <w:color w:val="1F2328"/>
          <w:sz w:val="21"/>
          <w:szCs w:val="21"/>
        </w:rPr>
        <w:t xml:space="preserve">For every document: priority band (§3.2), estimated finished page count, estimated production effort in focused days (drafting, consultation, approval), and the principal linked instruments each document must generate or reference. Approvals and review cycles: see PC-GOV-000 §9 and §4.2 above.</w:t>
      </w:r>
    </w:p>
    <w:p>
      <w:pPr>
        <w:pStyle w:val="Heading2"/>
        <w:spacing w:after="140" w:before="300"/>
      </w:pPr>
      <w:r>
        <w:rPr>
          <w:rFonts w:ascii="Arial" w:cs="Arial" w:eastAsia="Arial" w:hAnsi="Arial"/>
          <w:b/>
          <w:bCs/>
          <w:color w:val="1E4B50"/>
          <w:sz w:val="24"/>
          <w:szCs w:val="24"/>
        </w:rPr>
        <w:t xml:space="preserve">4.4.1   </w:t>
      </w:r>
      <w:r>
        <w:rPr>
          <w:rFonts w:ascii="Arial" w:cs="Arial" w:eastAsia="Arial" w:hAnsi="Arial"/>
          <w:b/>
          <w:bCs/>
          <w:color w:val="1F2328"/>
          <w:sz w:val="24"/>
          <w:szCs w:val="24"/>
        </w:rPr>
        <w:t xml:space="preserve">Corporate governance (GOV)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00"/>
        <w:gridCol w:w="800"/>
        <w:gridCol w:w="900"/>
        <w:gridCol w:w="2526"/>
      </w:tblGrid>
      <w:tr>
        <w:trPr>
          <w:cantSplit/>
          <w:tblHeader/>
        </w:trPr>
        <w:tc>
          <w:tcPr>
            <w:tcW w:type="dxa" w:w="1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2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Pri</w:t>
            </w:r>
          </w:p>
        </w:tc>
        <w:tc>
          <w:tcPr>
            <w:tcW w:type="dxa" w:w="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Est pp</w:t>
            </w:r>
          </w:p>
        </w:tc>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Effort (d)</w:t>
            </w:r>
          </w:p>
        </w:tc>
        <w:tc>
          <w:tcPr>
            <w:tcW w:type="dxa" w:w="25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Key linked instruments</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PC-GOV-001</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 Governance Manual</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35</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Annual Assurance Statement TPL</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PC-GOV-002</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 Governance Framework</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15</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map</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PC-GOV-003</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Charter</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calendar; board evaluation TPL; MD review TPL</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PC-GOV-004</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Committee Terms of Reference</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18</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Minutes TPL; agenda TPLs</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PC-GOV-005</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Delegation of Authority Framework</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15</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DoA schedule REG</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PC-GOV-006</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Decision Authority Matrix</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PC-GOV-007</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Executive Governance Manual</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Executive meeting TPLs</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PC-GOV-008</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Governance Framework</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25</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register; escalation map; appetite statement</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PC-GOV-009</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Internal Control Framework</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Control matrix REG; SoD rules</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PC-GOV-010</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Compliance Framework</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18</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Compliance obligations REG</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PC-GOV-011</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Financial Governance Manual</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FIN series; budget TPL</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PC-GOV-012</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Conflicts of Interest Policy</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COI REG; declaration FRM</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PC-GOV-013</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Whistleblowing Policy &amp; Scheme</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12</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Disclosure channel; case REG</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PC-GOV-014</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Communications &amp; Crisis Communications Policy</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12</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Crisis contact CHK; holding statement TPLs</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PC-GOV-015</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Regulatory Relations &amp; Inspection Readiness Procedure</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12</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Inspection CHK; målepunkt self-assessment TPL</w:t>
            </w:r>
          </w:p>
        </w:tc>
      </w:tr>
    </w:tbl>
    <w:p>
      <w:pPr>
        <w:spacing w:after="200"/>
      </w:pPr>
    </w:p>
    <w:p>
      <w:pPr>
        <w:pStyle w:val="Heading2"/>
        <w:spacing w:after="140" w:before="300"/>
      </w:pPr>
      <w:r>
        <w:rPr>
          <w:rFonts w:ascii="Arial" w:cs="Arial" w:eastAsia="Arial" w:hAnsi="Arial"/>
          <w:b/>
          <w:bCs/>
          <w:color w:val="1E4B50"/>
          <w:sz w:val="24"/>
          <w:szCs w:val="24"/>
        </w:rPr>
        <w:t xml:space="preserve">4.4.2   </w:t>
      </w:r>
      <w:r>
        <w:rPr>
          <w:rFonts w:ascii="Arial" w:cs="Arial" w:eastAsia="Arial" w:hAnsi="Arial"/>
          <w:b/>
          <w:bCs/>
          <w:color w:val="1F2328"/>
          <w:sz w:val="24"/>
          <w:szCs w:val="24"/>
        </w:rPr>
        <w:t xml:space="preserve">Human resources (HR)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00"/>
        <w:gridCol w:w="800"/>
        <w:gridCol w:w="900"/>
        <w:gridCol w:w="2526"/>
      </w:tblGrid>
      <w:tr>
        <w:trPr>
          <w:cantSplit/>
          <w:tblHeader/>
        </w:trPr>
        <w:tc>
          <w:tcPr>
            <w:tcW w:type="dxa" w:w="1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2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Pri</w:t>
            </w:r>
          </w:p>
        </w:tc>
        <w:tc>
          <w:tcPr>
            <w:tcW w:type="dxa" w:w="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Est pp</w:t>
            </w:r>
          </w:p>
        </w:tc>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Effort (d)</w:t>
            </w:r>
          </w:p>
        </w:tc>
        <w:tc>
          <w:tcPr>
            <w:tcW w:type="dxa" w:w="25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Key linked instruments</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PC-HR-001</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Handbook (regenerated from Danish source)</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Acknowledgement FRM</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Policy Manual</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45</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5</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Contract clauses; working-time REG</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PC-HR-003</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Manager Handbook</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P3</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PC-HR-004</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Leadership Handbook</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P3</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25</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PC-HR-005</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Recruitment Manual</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Interview TPLs; straffeattest/børneattest CHK; reference FRM</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PC-HR-006</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Performance Management Manual</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18</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Appraisal FRM; PIP TPL</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PC-HR-007</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Relations Manual</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22</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Disciplinary FRMs; grievance FRMs</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PC-HR-008</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Learning &amp; Development Manual</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18</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Training plan TPL; training REG</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PC-HR-009</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Onboarding Guide</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15</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Onboarding CHK (Part 12)</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PC-HR-010</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Competency Framework</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25</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Competency assessment FRMs; delegation REG interface</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PC-HR-011</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Succession Planning Framework</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P3</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Succession REG</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PC-HR-012</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Equality, Diversity &amp; Inclusion Policy</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PC-HR-013</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Mandatory Training Matrix</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Training &amp; competency REG</w:t>
            </w:r>
          </w:p>
        </w:tc>
      </w:tr>
    </w:tbl>
    <w:p>
      <w:pPr>
        <w:spacing w:after="200"/>
      </w:pPr>
    </w:p>
    <w:p>
      <w:pPr>
        <w:pStyle w:val="Heading2"/>
        <w:spacing w:after="140" w:before="300"/>
      </w:pPr>
      <w:r>
        <w:rPr>
          <w:rFonts w:ascii="Arial" w:cs="Arial" w:eastAsia="Arial" w:hAnsi="Arial"/>
          <w:b/>
          <w:bCs/>
          <w:color w:val="1E4B50"/>
          <w:sz w:val="24"/>
          <w:szCs w:val="24"/>
        </w:rPr>
        <w:t xml:space="preserve">4.4.3   </w:t>
      </w:r>
      <w:r>
        <w:rPr>
          <w:rFonts w:ascii="Arial" w:cs="Arial" w:eastAsia="Arial" w:hAnsi="Arial"/>
          <w:b/>
          <w:bCs/>
          <w:color w:val="1F2328"/>
          <w:sz w:val="24"/>
          <w:szCs w:val="24"/>
        </w:rPr>
        <w:t xml:space="preserve">Clinical governance (CLIN)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00"/>
        <w:gridCol w:w="800"/>
        <w:gridCol w:w="900"/>
        <w:gridCol w:w="2526"/>
      </w:tblGrid>
      <w:tr>
        <w:trPr>
          <w:cantSplit/>
          <w:tblHeader/>
        </w:trPr>
        <w:tc>
          <w:tcPr>
            <w:tcW w:type="dxa" w:w="1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2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Pri</w:t>
            </w:r>
          </w:p>
        </w:tc>
        <w:tc>
          <w:tcPr>
            <w:tcW w:type="dxa" w:w="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Est pp</w:t>
            </w:r>
          </w:p>
        </w:tc>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Effort (d)</w:t>
            </w:r>
          </w:p>
        </w:tc>
        <w:tc>
          <w:tcPr>
            <w:tcW w:type="dxa" w:w="25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Key linked instruments</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PC-CLIN-001</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Governance Manual</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35</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5</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Supervision records; clinical committee agenda TPL</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PC-CLIN-002</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Patient Safety Framework</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UTH REG; safety huddle TPL</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PC-CLIN-003</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Medication Management Manual</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Medication SOPs (instruks); error FRM; delegation REG</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PC-CLIN-004</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Safeguarding Manual (incl. consent, capacity, magtanvendelse)</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30</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5</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Safeguarding FRM; magtanvendelse indberetning FRM</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PC-CLIN-005</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Documentation Standards Manual</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22</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EOJ standards; audit CHK</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PC-CLIN-006</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Audit Framework</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15</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Audit TPLs; findings REG</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PC-CLIN-007</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Infection Prevention &amp; Control Manual</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25</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Hygiene SOPs (instruks); outbreak CHK</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PC-CLIN-008</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Incident Reporting Manual (UTH/DPSD)</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18</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UTH FRM + REG; learning bulletin TPL</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PC-CLIN-009</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Risk Management Framework</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15</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risk REG</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PC-CLIN-010</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Professional Standards Manual (incl. supervision model)</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Supervision REG; authorisation checks CHK</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PC-CLIN-011</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Planning &amp; Rehabilitation Manual (§§83, 83a)</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5</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Assessment FRMs; care plan TPL; review CHK</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PC-CLIN-012</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Deteriorating Citizen &amp; Acute Response Procedure</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Early-warning FRM; ISBAR card</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PC-CLIN-013</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End-of-Life &amp; Terminal Care Procedure</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12</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Terminal care plan TPL</w:t>
            </w:r>
          </w:p>
        </w:tc>
      </w:tr>
    </w:tbl>
    <w:p>
      <w:pPr>
        <w:spacing w:after="200"/>
      </w:pPr>
    </w:p>
    <w:p>
      <w:pPr>
        <w:pStyle w:val="Heading2"/>
        <w:spacing w:after="140" w:before="300"/>
      </w:pPr>
      <w:r>
        <w:rPr>
          <w:rFonts w:ascii="Arial" w:cs="Arial" w:eastAsia="Arial" w:hAnsi="Arial"/>
          <w:b/>
          <w:bCs/>
          <w:color w:val="1E4B50"/>
          <w:sz w:val="24"/>
          <w:szCs w:val="24"/>
        </w:rPr>
        <w:t xml:space="preserve">4.4.4   </w:t>
      </w:r>
      <w:r>
        <w:rPr>
          <w:rFonts w:ascii="Arial" w:cs="Arial" w:eastAsia="Arial" w:hAnsi="Arial"/>
          <w:b/>
          <w:bCs/>
          <w:color w:val="1F2328"/>
          <w:sz w:val="24"/>
          <w:szCs w:val="24"/>
        </w:rPr>
        <w:t xml:space="preserve">Quality (QMS)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00"/>
        <w:gridCol w:w="800"/>
        <w:gridCol w:w="900"/>
        <w:gridCol w:w="2526"/>
      </w:tblGrid>
      <w:tr>
        <w:trPr>
          <w:cantSplit/>
          <w:tblHeader/>
        </w:trPr>
        <w:tc>
          <w:tcPr>
            <w:tcW w:type="dxa" w:w="1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2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Pri</w:t>
            </w:r>
          </w:p>
        </w:tc>
        <w:tc>
          <w:tcPr>
            <w:tcW w:type="dxa" w:w="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Est pp</w:t>
            </w:r>
          </w:p>
        </w:tc>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Effort (d)</w:t>
            </w:r>
          </w:p>
        </w:tc>
        <w:tc>
          <w:tcPr>
            <w:tcW w:type="dxa" w:w="25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Key linked instruments</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PC-QMS-001</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Management System Manual</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policy; objectives REG</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PC-QMS-002</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Assurance Manual (Premium Care Standard)</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25</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Service standard CHKs</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PC-QMS-003</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Continuous Improvement Framework</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12</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Improvement REG</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PC-QMS-004</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Audit Programme</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12</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Annual audit plan TPL; audit report TPL</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PC-QMS-005</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CAPA Procedure</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CAPA FRM + REG</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PC-QMS-006</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Management Review Procedure</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Review agenda + minutes TPL</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PC-QMS-007</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KPI Framework</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15</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Dashboards (Part 8)</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PC-QMS-008</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Control Manual</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All TPLs; change request FRM</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PC-QMS-009</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Records Management Manual</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15</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Retention schedule interface (PC-IG-009)</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PC-QMS-010</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Complaints &amp; Feedback Management Procedure</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12</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Complaint FRM + REG; response TPLs</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PC-QMS-011</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Supplier &amp; Subcontractor Management Procedure</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12</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Approved supplier REG; evaluation FRM</w:t>
            </w:r>
          </w:p>
        </w:tc>
      </w:tr>
    </w:tbl>
    <w:p>
      <w:pPr>
        <w:spacing w:after="200"/>
      </w:pPr>
    </w:p>
    <w:p>
      <w:pPr>
        <w:pStyle w:val="Heading2"/>
        <w:spacing w:after="140" w:before="300"/>
      </w:pPr>
      <w:r>
        <w:rPr>
          <w:rFonts w:ascii="Arial" w:cs="Arial" w:eastAsia="Arial" w:hAnsi="Arial"/>
          <w:b/>
          <w:bCs/>
          <w:color w:val="1E4B50"/>
          <w:sz w:val="24"/>
          <w:szCs w:val="24"/>
        </w:rPr>
        <w:t xml:space="preserve">4.4.5   </w:t>
      </w:r>
      <w:r>
        <w:rPr>
          <w:rFonts w:ascii="Arial" w:cs="Arial" w:eastAsia="Arial" w:hAnsi="Arial"/>
          <w:b/>
          <w:bCs/>
          <w:color w:val="1F2328"/>
          <w:sz w:val="24"/>
          <w:szCs w:val="24"/>
        </w:rPr>
        <w:t xml:space="preserve">Information governance (IG) and digital (DIG)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00"/>
        <w:gridCol w:w="800"/>
        <w:gridCol w:w="900"/>
        <w:gridCol w:w="2526"/>
      </w:tblGrid>
      <w:tr>
        <w:trPr>
          <w:cantSplit/>
          <w:tblHeader/>
        </w:trPr>
        <w:tc>
          <w:tcPr>
            <w:tcW w:type="dxa" w:w="1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2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Pri</w:t>
            </w:r>
          </w:p>
        </w:tc>
        <w:tc>
          <w:tcPr>
            <w:tcW w:type="dxa" w:w="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Est pp</w:t>
            </w:r>
          </w:p>
        </w:tc>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Effort (d)</w:t>
            </w:r>
          </w:p>
        </w:tc>
        <w:tc>
          <w:tcPr>
            <w:tcW w:type="dxa" w:w="25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Key linked instruments</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PC-IG-001</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 Manual</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25</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framework map</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PC-IG-002</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GDPR Manual (ROPA, DPIA, breach)</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35</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5</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ROPA; DPA REG; breach REG; DPIA TPL; privacy notices</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PC-IG-003</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Cyber Security Manual (incl. NIS2 position)</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Asset REG; incident FRM</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PC-IG-004</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Acceptable Use Policy</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Acknowledgement FRM</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PC-IG-005</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AI Usage Policy</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AI use-case REG</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PC-IG-006</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Email Policy</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P3</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PC-IG-007</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Password Standard</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0.5</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PC-IG-008</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Classification Standard</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Classification labels (Part 7)</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PC-IG-009</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Data Retention Schedule</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12</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M365 retention labels</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PC-IG-010</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Business Continuity Plan (enterprise, care-first)</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Continuity SOPs; contact CHK</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PC-IG-011</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Disaster Recovery Plan</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12</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DR test CHK + REG</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PC-DIG-001</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Digital &amp; Technology Strategy</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15</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Roadmap</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PC-DIG-002</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Platform (EOJ) Administration Manual</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Access REG; audit-trail CHK</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PC-DIG-003</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IT Change &amp; Release Procedure</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Change FRM + REG</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PC-DIG-004</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Mobile Device &amp; Remote Working Standard</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Device REG</w:t>
            </w:r>
          </w:p>
        </w:tc>
      </w:tr>
    </w:tbl>
    <w:p>
      <w:pPr>
        <w:spacing w:after="200"/>
      </w:pPr>
    </w:p>
    <w:p>
      <w:pPr>
        <w:pStyle w:val="Heading2"/>
        <w:spacing w:after="140" w:before="300"/>
      </w:pPr>
      <w:r>
        <w:rPr>
          <w:rFonts w:ascii="Arial" w:cs="Arial" w:eastAsia="Arial" w:hAnsi="Arial"/>
          <w:b/>
          <w:bCs/>
          <w:color w:val="1E4B50"/>
          <w:sz w:val="24"/>
          <w:szCs w:val="24"/>
        </w:rPr>
        <w:t xml:space="preserve">4.4.6   </w:t>
      </w:r>
      <w:r>
        <w:rPr>
          <w:rFonts w:ascii="Arial" w:cs="Arial" w:eastAsia="Arial" w:hAnsi="Arial"/>
          <w:b/>
          <w:bCs/>
          <w:color w:val="1F2328"/>
          <w:sz w:val="24"/>
          <w:szCs w:val="24"/>
        </w:rPr>
        <w:t xml:space="preserve">Health &amp; safety (HSE), finance (FIN), facilities (FAC), environment (ENV)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00"/>
        <w:gridCol w:w="800"/>
        <w:gridCol w:w="900"/>
        <w:gridCol w:w="2526"/>
      </w:tblGrid>
      <w:tr>
        <w:trPr>
          <w:cantSplit/>
          <w:tblHeader/>
        </w:trPr>
        <w:tc>
          <w:tcPr>
            <w:tcW w:type="dxa" w:w="1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2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Pri</w:t>
            </w:r>
          </w:p>
        </w:tc>
        <w:tc>
          <w:tcPr>
            <w:tcW w:type="dxa" w:w="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Est pp</w:t>
            </w:r>
          </w:p>
        </w:tc>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Effort (d)</w:t>
            </w:r>
          </w:p>
        </w:tc>
        <w:tc>
          <w:tcPr>
            <w:tcW w:type="dxa" w:w="25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Key linked instruments</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PC-HSE-001</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&amp; Safety Manual (APV, AMO)</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APV TPL + REG; AMO minutes TPL</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PC-HSE-002</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Manual Handling Policy</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Handling assessment FRM</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PC-HSE-003</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Fire Safety Manual</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12</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Evacuation CHK</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PC-HSE-004</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Lone Worker Policy</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Check-in procedure; escalation CHK</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PC-HSE-005</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Violence &amp; Aggression Policy</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Incident FRM; citizen risk flag procedure</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PC-HSE-006</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PPE Policy</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PPE issue REG</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PC-HSE-007</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Occupational Health Policy</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P3</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PC-HSE-008</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Emergency Response Manual</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12</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Emergency CHKs</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PC-HSE-009</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Accident Reporting Procedure (workplace)</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Accident FRM + REG (EASY interface)</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PC-HSE-010</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Psychological Working Environment Policy</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P1</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Psych. APV module; support pathway</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PC-FIN-001…006</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Financial procedures series (six documents)</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50</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Budget TPL; P2P FRMs; payroll CHK; reconciliation REG; fraud response CHK; asset REG</w:t>
            </w:r>
          </w:p>
        </w:tc>
      </w:tr>
      <w:tr>
        <w:trPr>
          <w:cantSplit/>
        </w:trPr>
        <w:tc>
          <w:tcPr>
            <w:tcW w:type="dxa" w:w="14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PC-FAC-001…003</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Facilities, fleet and equipment series (three documents)</w:t>
            </w:r>
          </w:p>
        </w:tc>
        <w:tc>
          <w:tcPr>
            <w:tcW w:type="dxa" w:w="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P2</w:t>
            </w:r>
          </w:p>
        </w:tc>
        <w:tc>
          <w:tcPr>
            <w:tcW w:type="dxa" w:w="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30</w:t>
            </w:r>
          </w:p>
        </w:tc>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w:t>
            </w:r>
          </w:p>
        </w:tc>
        <w:tc>
          <w:tcPr>
            <w:tcW w:type="dxa" w:w="25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Vehicle CHKs; equipment/aids REG; maintenance REG</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PC-ENV-001…002</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Environment series (two documents)</w:t>
            </w:r>
          </w:p>
        </w:tc>
        <w:tc>
          <w:tcPr>
            <w:tcW w:type="dxa" w:w="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P3</w:t>
            </w:r>
          </w:p>
        </w:tc>
        <w:tc>
          <w:tcPr>
            <w:tcW w:type="dxa" w:w="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14</w:t>
            </w:r>
          </w:p>
        </w:tc>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2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Waste handling SOP; sharps CHK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4B50" w:sz="18"/>
              <w:bottom w:val="none" w:color="FFFFFF" w:sz="0"/>
              <w:right w:val="none" w:color="FFFFFF" w:sz="0"/>
            </w:tcBorders>
            <w:shd w:fill="F4F5F4" w:color="auto" w:val="clear"/>
            <w:tcMar>
              <w:top w:type="dxa" w:w="160"/>
              <w:left w:type="dxa" w:w="200"/>
              <w:bottom w:type="dxa" w:w="160"/>
              <w:right w:type="dxa" w:w="200"/>
            </w:tcMar>
          </w:tcPr>
          <w:p>
            <w:pPr>
              <w:spacing w:after="0" w:line="264"/>
            </w:pPr>
            <w:r>
              <w:rPr>
                <w:rFonts w:ascii="Georgia" w:cs="Georgia" w:eastAsia="Georgia" w:hAnsi="Georgia"/>
                <w:b/>
                <w:bCs/>
                <w:color w:val="1F2328"/>
                <w:sz w:val="20"/>
                <w:szCs w:val="20"/>
              </w:rPr>
              <w:t xml:space="preserve">Library totals at full build:</w:t>
            </w:r>
            <w:r>
              <w:rPr>
                <w:rFonts w:ascii="Georgia" w:cs="Georgia" w:eastAsia="Georgia" w:hAnsi="Georgia"/>
                <w:color w:val="1F2328"/>
                <w:sz w:val="20"/>
                <w:szCs w:val="20"/>
              </w:rPr>
              <w:t xml:space="preserve"> 93 controlled documents plus the open OPS series (first tranche ≈ 30 SOPs/forms/checklists). Estimated finished volume ≈ </w:t>
            </w:r>
            <w:r>
              <w:rPr>
                <w:rFonts w:ascii="Georgia" w:cs="Georgia" w:eastAsia="Georgia" w:hAnsi="Georgia"/>
                <w:b/>
                <w:bCs/>
                <w:color w:val="1F2328"/>
                <w:sz w:val="20"/>
                <w:szCs w:val="20"/>
              </w:rPr>
              <w:t xml:space="preserve">1,700–2,000 pages</w:t>
            </w:r>
            <w:r>
              <w:rPr>
                <w:rFonts w:ascii="Georgia" w:cs="Georgia" w:eastAsia="Georgia" w:hAnsi="Georgia"/>
                <w:color w:val="1F2328"/>
                <w:sz w:val="20"/>
                <w:szCs w:val="20"/>
              </w:rPr>
              <w:t xml:space="preserve">; estimated production effort ≈ </w:t>
            </w:r>
            <w:r>
              <w:rPr>
                <w:rFonts w:ascii="Georgia" w:cs="Georgia" w:eastAsia="Georgia" w:hAnsi="Georgia"/>
                <w:b/>
                <w:bCs/>
                <w:color w:val="1F2328"/>
                <w:sz w:val="20"/>
                <w:szCs w:val="20"/>
              </w:rPr>
              <w:t xml:space="preserve">230 focused days</w:t>
            </w:r>
            <w:r>
              <w:rPr>
                <w:rFonts w:ascii="Georgia" w:cs="Georgia" w:eastAsia="Georgia" w:hAnsi="Georgia"/>
                <w:color w:val="1F2328"/>
                <w:sz w:val="20"/>
                <w:szCs w:val="20"/>
              </w:rPr>
              <w:t xml:space="preserve"> (§3.4). These totals are the denominator for the programme KPIs in §2.6.</w:t>
            </w:r>
          </w:p>
        </w:tc>
      </w:tr>
    </w:tbl>
    <w:p>
      <w:r>
        <w:br w:type="page"/>
      </w:r>
    </w:p>
    <w:p>
      <w:pPr>
        <w:pStyle w:val="Heading1"/>
        <w:pBdr>
          <w:bottom w:val="single" w:color="1E4B50" w:sz="6"/>
        </w:pBdr>
        <w:spacing w:after="200" w:before="420"/>
      </w:pPr>
      <w:r>
        <w:rPr>
          <w:rFonts w:ascii="Arial" w:cs="Arial" w:eastAsia="Arial" w:hAnsi="Arial"/>
          <w:b/>
          <w:bCs/>
          <w:color w:val="1E4B50"/>
          <w:sz w:val="30"/>
          <w:szCs w:val="30"/>
        </w:rPr>
        <w:t xml:space="preserve">PART 5   </w:t>
      </w:r>
      <w:r>
        <w:rPr>
          <w:rFonts w:ascii="Arial" w:cs="Arial" w:eastAsia="Arial" w:hAnsi="Arial"/>
          <w:b/>
          <w:bCs/>
          <w:color w:val="1F2328"/>
          <w:sz w:val="30"/>
          <w:szCs w:val="30"/>
        </w:rPr>
        <w:t xml:space="preserve">Document Control System</w:t>
      </w:r>
    </w:p>
    <w:p>
      <w:pPr>
        <w:spacing w:after="160" w:line="276"/>
        <w:jc w:val="both"/>
      </w:pPr>
      <w:r>
        <w:rPr>
          <w:rFonts w:ascii="Georgia" w:cs="Georgia" w:eastAsia="Georgia" w:hAnsi="Georgia"/>
          <w:color w:val="1F2328"/>
          <w:sz w:val="21"/>
          <w:szCs w:val="21"/>
        </w:rPr>
        <w:t xml:space="preserve">Part 5 specifies the operating system for documents themselves. It elaborates — and never contradicts — the lifecycle fixed in PC-GOV-000 §15; PC-QMS-008 will carry the working procedure and must conform to this Part.</w:t>
      </w:r>
    </w:p>
    <w:p>
      <w:pPr>
        <w:pStyle w:val="Heading2"/>
        <w:spacing w:after="140" w:before="300"/>
      </w:pPr>
      <w:r>
        <w:rPr>
          <w:rFonts w:ascii="Arial" w:cs="Arial" w:eastAsia="Arial" w:hAnsi="Arial"/>
          <w:b/>
          <w:bCs/>
          <w:color w:val="1E4B50"/>
          <w:sz w:val="24"/>
          <w:szCs w:val="24"/>
        </w:rPr>
        <w:t xml:space="preserve">5.1   </w:t>
      </w:r>
      <w:r>
        <w:rPr>
          <w:rFonts w:ascii="Arial" w:cs="Arial" w:eastAsia="Arial" w:hAnsi="Arial"/>
          <w:b/>
          <w:bCs/>
          <w:color w:val="1F2328"/>
          <w:sz w:val="24"/>
          <w:szCs w:val="24"/>
        </w:rPr>
        <w:t xml:space="preserve">Lifecycle states and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2926"/>
      </w:tblGrid>
      <w:tr>
        <w:trPr>
          <w:cantSplit/>
          <w:tblHeader/>
        </w:trPr>
        <w:tc>
          <w:tcPr>
            <w:tcW w:type="dxa" w:w="1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State</w:t>
            </w:r>
          </w:p>
        </w:tc>
        <w:tc>
          <w:tcPr>
            <w:tcW w:type="dxa" w:w="4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Meaning</w:t>
            </w:r>
          </w:p>
        </w:tc>
        <w:tc>
          <w:tcPr>
            <w:tcW w:type="dxa" w:w="29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Exit criteria</w:t>
            </w:r>
          </w:p>
        </w:tc>
      </w:tr>
      <w:tr>
        <w:trPr>
          <w:cantSplit/>
        </w:trPr>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Commissioned</w:t>
            </w:r>
          </w:p>
        </w:tc>
        <w:tc>
          <w:tcPr>
            <w:tcW w:type="dxa" w:w="4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Register entry activated; owner and deadline set</w:t>
            </w:r>
          </w:p>
        </w:tc>
        <w:tc>
          <w:tcPr>
            <w:tcW w:type="dxa" w:w="2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Draft 0.1 exists</w:t>
            </w:r>
          </w:p>
        </w:tc>
      </w:tr>
      <w:tr>
        <w:trPr>
          <w:cantSplit/>
        </w:trPr>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Draft (0.x)</w:t>
            </w:r>
          </w:p>
        </w:tc>
        <w:tc>
          <w:tcPr>
            <w:tcW w:type="dxa" w:w="4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Under authorship using the mandated template</w:t>
            </w:r>
          </w:p>
        </w:tc>
        <w:tc>
          <w:tcPr>
            <w:tcW w:type="dxa" w:w="2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Owner declares consultation-ready</w:t>
            </w:r>
          </w:p>
        </w:tc>
      </w:tr>
      <w:tr>
        <w:trPr>
          <w:cantSplit/>
        </w:trPr>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 consultation</w:t>
            </w:r>
          </w:p>
        </w:tc>
        <w:tc>
          <w:tcPr>
            <w:tcW w:type="dxa" w:w="4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Circulated to owners of referenced/referencing documents; AMO where relevant</w:t>
            </w:r>
          </w:p>
        </w:tc>
        <w:tc>
          <w:tcPr>
            <w:tcW w:type="dxa" w:w="2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Comments dispositioned in the consultation log</w:t>
            </w:r>
          </w:p>
        </w:tc>
      </w:tr>
      <w:tr>
        <w:trPr>
          <w:cantSplit/>
        </w:trPr>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QA review</w:t>
            </w:r>
          </w:p>
        </w:tc>
        <w:tc>
          <w:tcPr>
            <w:tcW w:type="dxa" w:w="4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PMO checks template conformity, metadata, mandated contents (§8.4), cross-references</w:t>
            </w:r>
          </w:p>
        </w:tc>
        <w:tc>
          <w:tcPr>
            <w:tcW w:type="dxa" w:w="2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QA certificate issued</w:t>
            </w:r>
          </w:p>
        </w:tc>
      </w:tr>
      <w:tr>
        <w:trPr>
          <w:cantSplit/>
        </w:trPr>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Approval</w:t>
            </w:r>
          </w:p>
        </w:tc>
        <w:tc>
          <w:tcPr>
            <w:tcW w:type="dxa" w:w="4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 PC-GOV-000 §8.2, by e-signature or minuted resolution</w:t>
            </w:r>
          </w:p>
        </w:tc>
        <w:tc>
          <w:tcPr>
            <w:tcW w:type="dxa" w:w="2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Approval record captured</w:t>
            </w:r>
          </w:p>
        </w:tc>
      </w:tr>
      <w:tr>
        <w:trPr>
          <w:cantSplit/>
        </w:trPr>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Published (x.0)</w:t>
            </w:r>
          </w:p>
        </w:tc>
        <w:tc>
          <w:tcPr>
            <w:tcW w:type="dxa" w:w="4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Live in the controlled repository; notifications and read-acknowledgements triggered</w:t>
            </w:r>
          </w:p>
        </w:tc>
        <w:tc>
          <w:tcPr>
            <w:tcW w:type="dxa" w:w="2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t>
            </w:r>
          </w:p>
        </w:tc>
      </w:tr>
      <w:tr>
        <w:trPr>
          <w:cantSplit/>
        </w:trPr>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Under review</w:t>
            </w:r>
          </w:p>
        </w:tc>
        <w:tc>
          <w:tcPr>
            <w:tcW w:type="dxa" w:w="4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Scheduled or triggered review in progress</w:t>
            </w:r>
          </w:p>
        </w:tc>
        <w:tc>
          <w:tcPr>
            <w:tcW w:type="dxa" w:w="2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Reconfirm / revise / retire decision</w:t>
            </w:r>
          </w:p>
        </w:tc>
      </w:tr>
      <w:tr>
        <w:trPr>
          <w:cantSplit/>
        </w:trPr>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Superseded / Retired</w:t>
            </w:r>
          </w:p>
        </w:tc>
        <w:tc>
          <w:tcPr>
            <w:tcW w:type="dxa" w:w="4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Removed from circulation; archived with full history</w:t>
            </w:r>
          </w:p>
        </w:tc>
        <w:tc>
          <w:tcPr>
            <w:tcW w:type="dxa" w:w="2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Referencing documents corrected</w:t>
            </w:r>
          </w:p>
        </w:tc>
      </w:tr>
    </w:tbl>
    <w:p>
      <w:pPr>
        <w:spacing w:after="200"/>
      </w:pPr>
    </w:p>
    <w:p>
      <w:pPr>
        <w:pStyle w:val="Heading2"/>
        <w:spacing w:after="140" w:before="300"/>
      </w:pPr>
      <w:r>
        <w:rPr>
          <w:rFonts w:ascii="Arial" w:cs="Arial" w:eastAsia="Arial" w:hAnsi="Arial"/>
          <w:b/>
          <w:bCs/>
          <w:color w:val="1E4B50"/>
          <w:sz w:val="24"/>
          <w:szCs w:val="24"/>
        </w:rPr>
        <w:t xml:space="preserve">5.2   </w:t>
      </w:r>
      <w:r>
        <w:rPr>
          <w:rFonts w:ascii="Arial" w:cs="Arial" w:eastAsia="Arial" w:hAnsi="Arial"/>
          <w:b/>
          <w:bCs/>
          <w:color w:val="1F2328"/>
          <w:sz w:val="24"/>
          <w:szCs w:val="24"/>
        </w:rPr>
        <w:t xml:space="preserve">Change requests</w:t>
      </w:r>
    </w:p>
    <w:p>
      <w:pPr>
        <w:spacing w:after="160" w:line="276"/>
        <w:jc w:val="both"/>
      </w:pPr>
      <w:r>
        <w:rPr>
          <w:rFonts w:ascii="Georgia" w:cs="Georgia" w:eastAsia="Georgia" w:hAnsi="Georgia"/>
          <w:color w:val="1F2328"/>
          <w:sz w:val="21"/>
          <w:szCs w:val="21"/>
        </w:rPr>
        <w:t xml:space="preserve">Any employee may raise a change request (FRM: CR form) against any document. The PMO triages within five working days: </w:t>
      </w:r>
      <w:r>
        <w:rPr>
          <w:rFonts w:ascii="Georgia" w:cs="Georgia" w:eastAsia="Georgia" w:hAnsi="Georgia"/>
          <w:b/>
          <w:bCs/>
          <w:color w:val="1F2328"/>
          <w:sz w:val="21"/>
          <w:szCs w:val="21"/>
        </w:rPr>
        <w:t xml:space="preserve">editorial</w:t>
      </w:r>
      <w:r>
        <w:rPr>
          <w:rFonts w:ascii="Georgia" w:cs="Georgia" w:eastAsia="Georgia" w:hAnsi="Georgia"/>
          <w:color w:val="1F2328"/>
          <w:sz w:val="21"/>
          <w:szCs w:val="21"/>
        </w:rPr>
        <w:t xml:space="preserve"> (owner approves, minor version), </w:t>
      </w:r>
      <w:r>
        <w:rPr>
          <w:rFonts w:ascii="Georgia" w:cs="Georgia" w:eastAsia="Georgia" w:hAnsi="Georgia"/>
          <w:b/>
          <w:bCs/>
          <w:color w:val="1F2328"/>
          <w:sz w:val="21"/>
          <w:szCs w:val="21"/>
        </w:rPr>
        <w:t xml:space="preserve">substantive</w:t>
      </w:r>
      <w:r>
        <w:rPr>
          <w:rFonts w:ascii="Georgia" w:cs="Georgia" w:eastAsia="Georgia" w:hAnsi="Georgia"/>
          <w:color w:val="1F2328"/>
          <w:sz w:val="21"/>
          <w:szCs w:val="21"/>
        </w:rPr>
        <w:t xml:space="preserve"> (full cycle, major version) or </w:t>
      </w:r>
      <w:r>
        <w:rPr>
          <w:rFonts w:ascii="Georgia" w:cs="Georgia" w:eastAsia="Georgia" w:hAnsi="Georgia"/>
          <w:b/>
          <w:bCs/>
          <w:color w:val="1F2328"/>
          <w:sz w:val="21"/>
          <w:szCs w:val="21"/>
        </w:rPr>
        <w:t xml:space="preserve">rejected with reasons</w:t>
      </w:r>
      <w:r>
        <w:rPr>
          <w:rFonts w:ascii="Georgia" w:cs="Georgia" w:eastAsia="Georgia" w:hAnsi="Georgia"/>
          <w:color w:val="1F2328"/>
          <w:sz w:val="21"/>
          <w:szCs w:val="21"/>
        </w:rPr>
        <w:t xml:space="preserve"> (logged). CR statistics feed the Management Review — a document attracting repeated CRs is telling the organisation something, and P12 requires listening.</w:t>
      </w:r>
    </w:p>
    <w:p>
      <w:pPr>
        <w:pStyle w:val="Heading2"/>
        <w:spacing w:after="140" w:before="300"/>
      </w:pPr>
      <w:r>
        <w:rPr>
          <w:rFonts w:ascii="Arial" w:cs="Arial" w:eastAsia="Arial" w:hAnsi="Arial"/>
          <w:b/>
          <w:bCs/>
          <w:color w:val="1E4B50"/>
          <w:sz w:val="24"/>
          <w:szCs w:val="24"/>
        </w:rPr>
        <w:t xml:space="preserve">5.3   </w:t>
      </w:r>
      <w:r>
        <w:rPr>
          <w:rFonts w:ascii="Arial" w:cs="Arial" w:eastAsia="Arial" w:hAnsi="Arial"/>
          <w:b/>
          <w:bCs/>
          <w:color w:val="1F2328"/>
          <w:sz w:val="24"/>
          <w:szCs w:val="24"/>
        </w:rPr>
        <w:t xml:space="preserve">Metadata standard</w:t>
      </w:r>
    </w:p>
    <w:p>
      <w:pPr>
        <w:spacing w:after="160" w:line="276"/>
        <w:jc w:val="both"/>
      </w:pPr>
      <w:r>
        <w:rPr>
          <w:rFonts w:ascii="Georgia" w:cs="Georgia" w:eastAsia="Georgia" w:hAnsi="Georgia"/>
          <w:color w:val="1F2328"/>
          <w:sz w:val="21"/>
          <w:szCs w:val="21"/>
        </w:rPr>
        <w:t xml:space="preserve">Every controlled document carries fourteen metadata fields, captured once at publication and driving search, dashboards and retention (P2). The M365 columns in Part 7 implement this standard one-to-one.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Field</w:t>
            </w:r>
          </w:p>
        </w:tc>
        <w:tc>
          <w:tcPr>
            <w:tcW w:type="dxa" w:w="65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Content</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ID / Title / Version</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 PC-GOV-000 §7 and §10</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 Domain / Category</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0–4; domain code; Part 4 category tag(s)</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Owner / Approver</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Role names per register</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Status / Effective date / Next review</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Lifecycle state; dates driving the review dashboard</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Classification</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 PC-IG-008 (e.g. Internal, Confidential)</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Retention label</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 PC-IG-009</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Inbound references</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IDs of documents citing this one (drives change-ripple, PC-GOV-000 §11.2)</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Acknowledgement required</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Yes/No + audience group (drives read-tracking)</w:t>
            </w:r>
          </w:p>
        </w:tc>
      </w:tr>
    </w:tbl>
    <w:p>
      <w:pPr>
        <w:spacing w:after="200"/>
      </w:pPr>
    </w:p>
    <w:p>
      <w:pPr>
        <w:pStyle w:val="Heading2"/>
        <w:spacing w:after="140" w:before="300"/>
      </w:pPr>
      <w:r>
        <w:rPr>
          <w:rFonts w:ascii="Arial" w:cs="Arial" w:eastAsia="Arial" w:hAnsi="Arial"/>
          <w:b/>
          <w:bCs/>
          <w:color w:val="1E4B50"/>
          <w:sz w:val="24"/>
          <w:szCs w:val="24"/>
        </w:rPr>
        <w:t xml:space="preserve">5.4   </w:t>
      </w:r>
      <w:r>
        <w:rPr>
          <w:rFonts w:ascii="Arial" w:cs="Arial" w:eastAsia="Arial" w:hAnsi="Arial"/>
          <w:b/>
          <w:bCs/>
          <w:color w:val="1F2328"/>
          <w:sz w:val="24"/>
          <w:szCs w:val="24"/>
        </w:rPr>
        <w:t xml:space="preserve">Electronic signatures, distribution and acknowledgement</w:t>
      </w:r>
    </w:p>
    <w:p>
      <w:pPr>
        <w:pStyle w:val="ListParagraph"/>
        <w:numPr>
          <w:ilvl w:val="0"/>
          <w:numId w:val="2"/>
        </w:numPr>
        <w:spacing w:after="90" w:line="264"/>
      </w:pPr>
      <w:r>
        <w:rPr>
          <w:rFonts w:ascii="Georgia" w:cs="Georgia" w:eastAsia="Georgia" w:hAnsi="Georgia"/>
          <w:b/>
          <w:bCs/>
          <w:color w:val="1F2328"/>
          <w:sz w:val="21"/>
          <w:szCs w:val="21"/>
        </w:rPr>
        <w:t xml:space="preserve">E-signatures.</w:t>
      </w:r>
      <w:r>
        <w:rPr>
          <w:rFonts w:ascii="Georgia" w:cs="Georgia" w:eastAsia="Georgia" w:hAnsi="Georgia"/>
          <w:color w:val="1F2328"/>
          <w:sz w:val="21"/>
          <w:szCs w:val="21"/>
        </w:rPr>
        <w:t xml:space="preserve"> Approvals are executed by authenticated electronic signature within the M365 workflow (or minuted Board resolution for Tier 0–1). The signature record — signer, role, timestamp, version hash — is retained with the document for its full retention period.</w:t>
      </w:r>
    </w:p>
    <w:p>
      <w:pPr>
        <w:pStyle w:val="ListParagraph"/>
        <w:numPr>
          <w:ilvl w:val="0"/>
          <w:numId w:val="2"/>
        </w:numPr>
        <w:spacing w:after="90" w:line="264"/>
      </w:pPr>
      <w:r>
        <w:rPr>
          <w:rFonts w:ascii="Georgia" w:cs="Georgia" w:eastAsia="Georgia" w:hAnsi="Georgia"/>
          <w:b/>
          <w:bCs/>
          <w:color w:val="1F2328"/>
          <w:sz w:val="21"/>
          <w:szCs w:val="21"/>
        </w:rPr>
        <w:t xml:space="preserve">Controlled distribution.</w:t>
      </w:r>
      <w:r>
        <w:rPr>
          <w:rFonts w:ascii="Georgia" w:cs="Georgia" w:eastAsia="Georgia" w:hAnsi="Georgia"/>
          <w:color w:val="1F2328"/>
          <w:sz w:val="21"/>
          <w:szCs w:val="21"/>
        </w:rPr>
        <w:t xml:space="preserve"> The repository is the only point of truth. Staff-facing documents publish to a read-only channel; printing is permitted but every print carries the automatic footer 'Uncontrolled when printed — verify against the live register'.</w:t>
      </w:r>
    </w:p>
    <w:p>
      <w:pPr>
        <w:pStyle w:val="ListParagraph"/>
        <w:numPr>
          <w:ilvl w:val="0"/>
          <w:numId w:val="2"/>
        </w:numPr>
        <w:spacing w:after="90" w:line="264"/>
      </w:pPr>
      <w:r>
        <w:rPr>
          <w:rFonts w:ascii="Georgia" w:cs="Georgia" w:eastAsia="Georgia" w:hAnsi="Georgia"/>
          <w:b/>
          <w:bCs/>
          <w:color w:val="1F2328"/>
          <w:sz w:val="21"/>
          <w:szCs w:val="21"/>
        </w:rPr>
        <w:t xml:space="preserve">Read acknowledgements.</w:t>
      </w:r>
      <w:r>
        <w:rPr>
          <w:rFonts w:ascii="Georgia" w:cs="Georgia" w:eastAsia="Georgia" w:hAnsi="Georgia"/>
          <w:color w:val="1F2328"/>
          <w:sz w:val="21"/>
          <w:szCs w:val="21"/>
        </w:rPr>
        <w:t xml:space="preserve"> Documents flagged in metadata require acknowledgement from their audience group within ten working days of publication; completion is a standing dashboard measure (Part 8) and an internal-audit sample point.</w:t>
      </w:r>
    </w:p>
    <w:p>
      <w:pPr>
        <w:pStyle w:val="ListParagraph"/>
        <w:numPr>
          <w:ilvl w:val="0"/>
          <w:numId w:val="2"/>
        </w:numPr>
        <w:spacing w:after="90" w:line="264"/>
      </w:pPr>
      <w:r>
        <w:rPr>
          <w:rFonts w:ascii="Georgia" w:cs="Georgia" w:eastAsia="Georgia" w:hAnsi="Georgia"/>
          <w:b/>
          <w:bCs/>
          <w:color w:val="1F2328"/>
          <w:sz w:val="21"/>
          <w:szCs w:val="21"/>
        </w:rPr>
        <w:t xml:space="preserve">Naming.</w:t>
      </w:r>
      <w:r>
        <w:rPr>
          <w:rFonts w:ascii="Georgia" w:cs="Georgia" w:eastAsia="Georgia" w:hAnsi="Georgia"/>
          <w:color w:val="1F2328"/>
          <w:sz w:val="21"/>
          <w:szCs w:val="21"/>
        </w:rPr>
        <w:t xml:space="preserve"> Files are named exactly as the document ID plus title in kebab case (e.g. </w:t>
      </w:r>
      <w:r>
        <w:rPr>
          <w:rFonts w:ascii="Georgia" w:cs="Georgia" w:eastAsia="Georgia" w:hAnsi="Georgia"/>
          <w:i/>
          <w:iCs/>
          <w:color w:val="1F2328"/>
          <w:sz w:val="21"/>
          <w:szCs w:val="21"/>
        </w:rPr>
        <w:t xml:space="preserve">PC-CLIN-003-medication-management-manual-v2.1</w:t>
      </w:r>
      <w:r>
        <w:rPr>
          <w:rFonts w:ascii="Georgia" w:cs="Georgia" w:eastAsia="Georgia" w:hAnsi="Georgia"/>
          <w:color w:val="1F2328"/>
          <w:sz w:val="21"/>
          <w:szCs w:val="21"/>
        </w:rPr>
        <w:t xml:space="preserve">); no other naming is permitted in the repository.</w:t>
      </w:r>
    </w:p>
    <w:p>
      <w:r>
        <w:br w:type="page"/>
      </w:r>
    </w:p>
    <w:p>
      <w:pPr>
        <w:pStyle w:val="Heading1"/>
        <w:pBdr>
          <w:bottom w:val="single" w:color="1E4B50" w:sz="6"/>
        </w:pBdr>
        <w:spacing w:after="200" w:before="420"/>
      </w:pPr>
      <w:r>
        <w:rPr>
          <w:rFonts w:ascii="Arial" w:cs="Arial" w:eastAsia="Arial" w:hAnsi="Arial"/>
          <w:b/>
          <w:bCs/>
          <w:color w:val="1E4B50"/>
          <w:sz w:val="30"/>
          <w:szCs w:val="30"/>
        </w:rPr>
        <w:t xml:space="preserve">PART 6   </w:t>
      </w:r>
      <w:r>
        <w:rPr>
          <w:rFonts w:ascii="Arial" w:cs="Arial" w:eastAsia="Arial" w:hAnsi="Arial"/>
          <w:b/>
          <w:bCs/>
          <w:color w:val="1F2328"/>
          <w:sz w:val="30"/>
          <w:szCs w:val="30"/>
        </w:rPr>
        <w:t xml:space="preserve">Governance Library Design System</w:t>
      </w:r>
    </w:p>
    <w:p>
      <w:pPr>
        <w:spacing w:after="160" w:line="276"/>
        <w:jc w:val="both"/>
      </w:pPr>
      <w:r>
        <w:rPr>
          <w:rFonts w:ascii="Georgia" w:cs="Georgia" w:eastAsia="Georgia" w:hAnsi="Georgia"/>
          <w:color w:val="1F2328"/>
          <w:sz w:val="21"/>
          <w:szCs w:val="21"/>
        </w:rPr>
        <w:t xml:space="preserve">Documents that look governed are trusted before they are read; municipal evaluators and inspectors form judgements in the first thirty seconds. The Premium Care Design Language makes every controlled document recognisably part of one system. This Part is the design authority; the Part 12 templates implement it; the PMO's QA step enforces it.</w:t>
      </w:r>
    </w:p>
    <w:p>
      <w:pPr>
        <w:pStyle w:val="Heading2"/>
        <w:spacing w:after="140" w:before="300"/>
      </w:pPr>
      <w:r>
        <w:rPr>
          <w:rFonts w:ascii="Arial" w:cs="Arial" w:eastAsia="Arial" w:hAnsi="Arial"/>
          <w:b/>
          <w:bCs/>
          <w:color w:val="1E4B50"/>
          <w:sz w:val="24"/>
          <w:szCs w:val="24"/>
        </w:rPr>
        <w:t xml:space="preserve">6.1   </w:t>
      </w:r>
      <w:r>
        <w:rPr>
          <w:rFonts w:ascii="Arial" w:cs="Arial" w:eastAsia="Arial" w:hAnsi="Arial"/>
          <w:b/>
          <w:bCs/>
          <w:color w:val="1F2328"/>
          <w:sz w:val="24"/>
          <w:szCs w:val="24"/>
        </w:rPr>
        <w:t xml:space="preserve">Typography and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Element</w:t>
            </w:r>
          </w:p>
        </w:tc>
        <w:tc>
          <w:tcPr>
            <w:tcW w:type="dxa" w:w="62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Specification</w:t>
            </w:r>
          </w:p>
        </w:tc>
      </w:tr>
      <w:tr>
        <w:trPr>
          <w:cantSplit/>
        </w:trPr>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Body typeface</w:t>
            </w:r>
          </w:p>
        </w:tc>
        <w:tc>
          <w:tcPr>
            <w:tcW w:type="dxa" w:w="6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Georgia (serif), 10.5 pt, 1.15 line spacing, justified; British English</w:t>
            </w:r>
          </w:p>
        </w:tc>
      </w:tr>
      <w:tr>
        <w:trPr>
          <w:cantSplit/>
        </w:trPr>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Heading typeface</w:t>
            </w:r>
          </w:p>
        </w:tc>
        <w:tc>
          <w:tcPr>
            <w:tcW w:type="dxa" w:w="6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Arial (sans), part titles 15 pt bold, sections 12 pt bold, subsections 11 pt bold</w:t>
            </w:r>
          </w:p>
        </w:tc>
      </w:tr>
      <w:tr>
        <w:trPr>
          <w:cantSplit/>
        </w:trPr>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Page</w:t>
            </w:r>
          </w:p>
        </w:tc>
        <w:tc>
          <w:tcPr>
            <w:tcW w:type="dxa" w:w="6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A4 portrait; 25.4 mm margins; landscape permitted for wide registers only</w:t>
            </w:r>
          </w:p>
        </w:tc>
      </w:tr>
      <w:tr>
        <w:trPr>
          <w:cantSplit/>
        </w:trPr>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Hierarchy</w:t>
            </w:r>
          </w:p>
        </w:tc>
        <w:tc>
          <w:tcPr>
            <w:tcW w:type="dxa" w:w="6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Part → numbered section (n.n) → subsection (n.n.n); never deeper than three levels</w:t>
            </w:r>
          </w:p>
        </w:tc>
      </w:tr>
      <w:tr>
        <w:trPr>
          <w:cantSplit/>
        </w:trPr>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Emphasis</w:t>
            </w:r>
          </w:p>
        </w:tc>
        <w:tc>
          <w:tcPr>
            <w:tcW w:type="dxa" w:w="6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Bold for defined terms and obligations; italics for Danish statutory terms on first use; no underline; no ALL CAPS in prose</w:t>
            </w:r>
          </w:p>
        </w:tc>
      </w:tr>
    </w:tbl>
    <w:p>
      <w:pPr>
        <w:spacing w:after="200"/>
      </w:pPr>
    </w:p>
    <w:p>
      <w:pPr>
        <w:pStyle w:val="Heading2"/>
        <w:spacing w:after="140" w:before="300"/>
      </w:pPr>
      <w:r>
        <w:rPr>
          <w:rFonts w:ascii="Arial" w:cs="Arial" w:eastAsia="Arial" w:hAnsi="Arial"/>
          <w:b/>
          <w:bCs/>
          <w:color w:val="1E4B50"/>
          <w:sz w:val="24"/>
          <w:szCs w:val="24"/>
        </w:rPr>
        <w:t xml:space="preserve">6.2   </w:t>
      </w:r>
      <w:r>
        <w:rPr>
          <w:rFonts w:ascii="Arial" w:cs="Arial" w:eastAsia="Arial" w:hAnsi="Arial"/>
          <w:b/>
          <w:bCs/>
          <w:color w:val="1F2328"/>
          <w:sz w:val="24"/>
          <w:szCs w:val="24"/>
        </w:rPr>
        <w:t xml:space="preserve">Colour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cantSplit/>
          <w:tblHeader/>
        </w:trPr>
        <w:tc>
          <w:tcPr>
            <w:tcW w:type="dxa" w:w="2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Colour</w:t>
            </w:r>
          </w:p>
        </w:tc>
        <w:tc>
          <w:tcPr>
            <w:tcW w:type="dxa" w:w="1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Value</w:t>
            </w:r>
          </w:p>
        </w:tc>
        <w:tc>
          <w:tcPr>
            <w:tcW w:type="dxa" w:w="46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Use</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Ink</w:t>
            </w:r>
          </w:p>
        </w:tc>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#1F2328</w:t>
            </w:r>
          </w:p>
        </w:tc>
        <w:tc>
          <w:tcPr>
            <w:tcW w:type="dxa" w:w="4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Body text</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Petrol (primary)</w:t>
            </w:r>
          </w:p>
        </w:tc>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#1E4B50</w:t>
            </w:r>
          </w:p>
        </w:tc>
        <w:tc>
          <w:tcPr>
            <w:tcW w:type="dxa" w:w="4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Headings accents, table headers, rules, controlled-document marks</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Slate</w:t>
            </w:r>
          </w:p>
        </w:tc>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#44515C</w:t>
            </w:r>
          </w:p>
        </w:tc>
        <w:tc>
          <w:tcPr>
            <w:tcW w:type="dxa" w:w="4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Secondary text, footers, captions</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Hairline</w:t>
            </w:r>
          </w:p>
        </w:tc>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#C9CDD1</w:t>
            </w:r>
          </w:p>
        </w:tc>
        <w:tc>
          <w:tcPr>
            <w:tcW w:type="dxa" w:w="4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Table borders, dividers</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Panel</w:t>
            </w:r>
          </w:p>
        </w:tc>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#F4F5F4</w:t>
            </w:r>
          </w:p>
        </w:tc>
        <w:tc>
          <w:tcPr>
            <w:tcW w:type="dxa" w:w="4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Callout backgrounds, zebra rows</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Signal red / amber / green</w:t>
            </w:r>
          </w:p>
        </w:tc>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#8C2F2F / #8A6D1D / #2F6B3A</w:t>
            </w:r>
          </w:p>
        </w:tc>
        <w:tc>
          <w:tcPr>
            <w:tcW w:type="dxa" w:w="4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RAG indicators and audit severities only — never decorative</w:t>
            </w:r>
          </w:p>
        </w:tc>
      </w:tr>
    </w:tbl>
    <w:p>
      <w:pPr>
        <w:spacing w:after="200"/>
      </w:pPr>
    </w:p>
    <w:p>
      <w:pPr>
        <w:pStyle w:val="Heading2"/>
        <w:spacing w:after="140" w:before="300"/>
      </w:pPr>
      <w:r>
        <w:rPr>
          <w:rFonts w:ascii="Arial" w:cs="Arial" w:eastAsia="Arial" w:hAnsi="Arial"/>
          <w:b/>
          <w:bCs/>
          <w:color w:val="1E4B50"/>
          <w:sz w:val="24"/>
          <w:szCs w:val="24"/>
        </w:rPr>
        <w:t xml:space="preserve">6.3   </w:t>
      </w:r>
      <w:r>
        <w:rPr>
          <w:rFonts w:ascii="Arial" w:cs="Arial" w:eastAsia="Arial" w:hAnsi="Arial"/>
          <w:b/>
          <w:bCs/>
          <w:color w:val="1F2328"/>
          <w:sz w:val="24"/>
          <w:szCs w:val="24"/>
        </w:rPr>
        <w:t xml:space="preserve">Standard components</w:t>
      </w:r>
    </w:p>
    <w:p>
      <w:pPr>
        <w:pStyle w:val="ListParagraph"/>
        <w:numPr>
          <w:ilvl w:val="0"/>
          <w:numId w:val="2"/>
        </w:numPr>
        <w:spacing w:after="90" w:line="264"/>
      </w:pPr>
      <w:r>
        <w:rPr>
          <w:rFonts w:ascii="Georgia" w:cs="Georgia" w:eastAsia="Georgia" w:hAnsi="Georgia"/>
          <w:b/>
          <w:bCs/>
          <w:color w:val="1F2328"/>
          <w:sz w:val="21"/>
          <w:szCs w:val="21"/>
        </w:rPr>
        <w:t xml:space="preserve">Cover page:</w:t>
      </w:r>
      <w:r>
        <w:rPr>
          <w:rFonts w:ascii="Georgia" w:cs="Georgia" w:eastAsia="Georgia" w:hAnsi="Georgia"/>
          <w:color w:val="1F2328"/>
          <w:sz w:val="21"/>
          <w:szCs w:val="21"/>
        </w:rPr>
        <w:t xml:space="preserve"> petrol top rule; organisation mark; document class label; title in Georgia display; one-sentence purpose in italic; document-control summary table; no imagery.</w:t>
      </w:r>
    </w:p>
    <w:p>
      <w:pPr>
        <w:pStyle w:val="ListParagraph"/>
        <w:numPr>
          <w:ilvl w:val="0"/>
          <w:numId w:val="2"/>
        </w:numPr>
        <w:spacing w:after="90" w:line="264"/>
      </w:pPr>
      <w:r>
        <w:rPr>
          <w:rFonts w:ascii="Georgia" w:cs="Georgia" w:eastAsia="Georgia" w:hAnsi="Georgia"/>
          <w:b/>
          <w:bCs/>
          <w:color w:val="1F2328"/>
          <w:sz w:val="21"/>
          <w:szCs w:val="21"/>
        </w:rPr>
        <w:t xml:space="preserve">Document control pages:</w:t>
      </w:r>
      <w:r>
        <w:rPr>
          <w:rFonts w:ascii="Georgia" w:cs="Georgia" w:eastAsia="Georgia" w:hAnsi="Georgia"/>
          <w:color w:val="1F2328"/>
          <w:sz w:val="21"/>
          <w:szCs w:val="21"/>
        </w:rPr>
        <w:t xml:space="preserve"> control table, version history, approval signature block — always pages 2–3, in that order, in every Tier 0–2 document.</w:t>
      </w:r>
    </w:p>
    <w:p>
      <w:pPr>
        <w:pStyle w:val="ListParagraph"/>
        <w:numPr>
          <w:ilvl w:val="0"/>
          <w:numId w:val="2"/>
        </w:numPr>
        <w:spacing w:after="90" w:line="264"/>
      </w:pPr>
      <w:r>
        <w:rPr>
          <w:rFonts w:ascii="Georgia" w:cs="Georgia" w:eastAsia="Georgia" w:hAnsi="Georgia"/>
          <w:b/>
          <w:bCs/>
          <w:color w:val="1F2328"/>
          <w:sz w:val="21"/>
          <w:szCs w:val="21"/>
        </w:rPr>
        <w:t xml:space="preserve">Callout panels:</w:t>
      </w:r>
      <w:r>
        <w:rPr>
          <w:rFonts w:ascii="Georgia" w:cs="Georgia" w:eastAsia="Georgia" w:hAnsi="Georgia"/>
          <w:color w:val="1F2328"/>
          <w:sz w:val="21"/>
          <w:szCs w:val="21"/>
        </w:rPr>
        <w:t xml:space="preserve"> left petrol bar on panel grey — reserved for standing rules, statutory duties and status statements; never for decoration.</w:t>
      </w:r>
    </w:p>
    <w:p>
      <w:pPr>
        <w:pStyle w:val="ListParagraph"/>
        <w:numPr>
          <w:ilvl w:val="0"/>
          <w:numId w:val="2"/>
        </w:numPr>
        <w:spacing w:after="90" w:line="264"/>
      </w:pPr>
      <w:r>
        <w:rPr>
          <w:rFonts w:ascii="Georgia" w:cs="Georgia" w:eastAsia="Georgia" w:hAnsi="Georgia"/>
          <w:b/>
          <w:bCs/>
          <w:color w:val="1F2328"/>
          <w:sz w:val="21"/>
          <w:szCs w:val="21"/>
        </w:rPr>
        <w:t xml:space="preserve">Tables:</w:t>
      </w:r>
      <w:r>
        <w:rPr>
          <w:rFonts w:ascii="Georgia" w:cs="Georgia" w:eastAsia="Georgia" w:hAnsi="Georgia"/>
          <w:color w:val="1F2328"/>
          <w:sz w:val="21"/>
          <w:szCs w:val="21"/>
        </w:rPr>
        <w:t xml:space="preserve"> petrol header row with white bold text; hairline borders; zebra striping for registers; rows never split across pages.</w:t>
      </w:r>
    </w:p>
    <w:p>
      <w:pPr>
        <w:pStyle w:val="ListParagraph"/>
        <w:numPr>
          <w:ilvl w:val="0"/>
          <w:numId w:val="2"/>
        </w:numPr>
        <w:spacing w:after="90" w:line="264"/>
      </w:pPr>
      <w:r>
        <w:rPr>
          <w:rFonts w:ascii="Georgia" w:cs="Georgia" w:eastAsia="Georgia" w:hAnsi="Georgia"/>
          <w:b/>
          <w:bCs/>
          <w:color w:val="1F2328"/>
          <w:sz w:val="21"/>
          <w:szCs w:val="21"/>
        </w:rPr>
        <w:t xml:space="preserve">Headers/footers:</w:t>
      </w:r>
      <w:r>
        <w:rPr>
          <w:rFonts w:ascii="Georgia" w:cs="Georgia" w:eastAsia="Georgia" w:hAnsi="Georgia"/>
          <w:color w:val="1F2328"/>
          <w:sz w:val="21"/>
          <w:szCs w:val="21"/>
        </w:rPr>
        <w:t xml:space="preserve"> footer carries document ID · title · version · 'Controlled Document' · page X of Y; classification appears in the footer when above Internal.</w:t>
      </w:r>
    </w:p>
    <w:p>
      <w:pPr>
        <w:pStyle w:val="ListParagraph"/>
        <w:numPr>
          <w:ilvl w:val="0"/>
          <w:numId w:val="2"/>
        </w:numPr>
        <w:spacing w:after="90" w:line="264"/>
      </w:pPr>
      <w:r>
        <w:rPr>
          <w:rFonts w:ascii="Georgia" w:cs="Georgia" w:eastAsia="Georgia" w:hAnsi="Georgia"/>
          <w:b/>
          <w:bCs/>
          <w:color w:val="1F2328"/>
          <w:sz w:val="21"/>
          <w:szCs w:val="21"/>
        </w:rPr>
        <w:t xml:space="preserve">Controlled-document notice:</w:t>
      </w:r>
      <w:r>
        <w:rPr>
          <w:rFonts w:ascii="Georgia" w:cs="Georgia" w:eastAsia="Georgia" w:hAnsi="Georgia"/>
          <w:color w:val="1F2328"/>
          <w:sz w:val="21"/>
          <w:szCs w:val="21"/>
        </w:rPr>
        <w:t xml:space="preserve"> the uncontrolled-when-printed statement (§5.4) on every page footer of published PDFs.</w:t>
      </w:r>
    </w:p>
    <w:p>
      <w:pPr>
        <w:pStyle w:val="Heading2"/>
        <w:spacing w:after="140" w:before="300"/>
      </w:pPr>
      <w:r>
        <w:rPr>
          <w:rFonts w:ascii="Arial" w:cs="Arial" w:eastAsia="Arial" w:hAnsi="Arial"/>
          <w:b/>
          <w:bCs/>
          <w:color w:val="1E4B50"/>
          <w:sz w:val="24"/>
          <w:szCs w:val="24"/>
        </w:rPr>
        <w:t xml:space="preserve">6.4   </w:t>
      </w:r>
      <w:r>
        <w:rPr>
          <w:rFonts w:ascii="Arial" w:cs="Arial" w:eastAsia="Arial" w:hAnsi="Arial"/>
          <w:b/>
          <w:bCs/>
          <w:color w:val="1F2328"/>
          <w:sz w:val="24"/>
          <w:szCs w:val="24"/>
        </w:rPr>
        <w:t xml:space="preserve">Styling by document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Class</w:t>
            </w:r>
          </w:p>
        </w:tc>
        <w:tc>
          <w:tcPr>
            <w:tcW w:type="dxa" w:w="68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Distinguishing treatment</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papers</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One-page limit for the decision sheet: purpose, recommendation, options, risk, resource, and the decision box — annexes carry the detail. Petrol 'FOR DECISION / FOR ASSURANCE / FOR NOTING' label top right.</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Frameworks &amp; manuals</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Full standard structure (PC-GOV-000 §15.4); contents page; mandated-contents certification line above the approval block.</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Policies</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Compact: purpose, scope, policy statements as numbered obligations, responsibilities, related documents, control block. Target ≤ 12 pages.</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SOPs / instrukser</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Action layout: scope banner, competency prerequisite line, numbered steps with responsibility column, escalation box, 'this SOP constitutes instruks for…' line where applicable. Target ≤ 8 pages.</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Forms</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Single purpose per form; field labels in Arial 9 pt; completion guidance in slate; form ID and version in footer.</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Registers</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Landscape permitted; frozen header row; owner and last-verified date in the header block.</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Checklists</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Binary items only (done / not done / N/A with reason); signature and date line; no free-text obligations hidden in checklists.</w:t>
            </w:r>
          </w:p>
        </w:tc>
      </w:tr>
    </w:tbl>
    <w:p>
      <w:r>
        <w:br w:type="page"/>
      </w:r>
    </w:p>
    <w:p>
      <w:pPr>
        <w:pStyle w:val="Heading1"/>
        <w:pBdr>
          <w:bottom w:val="single" w:color="1E4B50" w:sz="6"/>
        </w:pBdr>
        <w:spacing w:after="200" w:before="420"/>
      </w:pPr>
      <w:r>
        <w:rPr>
          <w:rFonts w:ascii="Arial" w:cs="Arial" w:eastAsia="Arial" w:hAnsi="Arial"/>
          <w:b/>
          <w:bCs/>
          <w:color w:val="1E4B50"/>
          <w:sz w:val="30"/>
          <w:szCs w:val="30"/>
        </w:rPr>
        <w:t xml:space="preserve">PART 7   </w:t>
      </w:r>
      <w:r>
        <w:rPr>
          <w:rFonts w:ascii="Arial" w:cs="Arial" w:eastAsia="Arial" w:hAnsi="Arial"/>
          <w:b/>
          <w:bCs/>
          <w:color w:val="1F2328"/>
          <w:sz w:val="30"/>
          <w:szCs w:val="30"/>
        </w:rPr>
        <w:t xml:space="preserve">Digital Governance Library — Microsoft 365 Architecture</w:t>
      </w:r>
    </w:p>
    <w:p>
      <w:pPr>
        <w:pStyle w:val="Heading2"/>
        <w:spacing w:after="140" w:before="300"/>
      </w:pPr>
      <w:r>
        <w:rPr>
          <w:rFonts w:ascii="Arial" w:cs="Arial" w:eastAsia="Arial" w:hAnsi="Arial"/>
          <w:b/>
          <w:bCs/>
          <w:color w:val="1E4B50"/>
          <w:sz w:val="24"/>
          <w:szCs w:val="24"/>
        </w:rPr>
        <w:t xml:space="preserve">7.1   </w:t>
      </w:r>
      <w:r>
        <w:rPr>
          <w:rFonts w:ascii="Arial" w:cs="Arial" w:eastAsia="Arial" w:hAnsi="Arial"/>
          <w:b/>
          <w:bCs/>
          <w:color w:val="1F2328"/>
          <w:sz w:val="24"/>
          <w:szCs w:val="24"/>
        </w:rPr>
        <w:t xml:space="preserve">Platform structure</w:t>
      </w:r>
    </w:p>
    <w:p>
      <w:pPr>
        <w:spacing w:after="160" w:line="276"/>
        <w:jc w:val="both"/>
      </w:pPr>
      <w:r>
        <w:rPr>
          <w:rFonts w:ascii="Georgia" w:cs="Georgia" w:eastAsia="Georgia" w:hAnsi="Georgia"/>
          <w:color w:val="1F2328"/>
          <w:sz w:val="21"/>
          <w:szCs w:val="21"/>
        </w:rPr>
        <w:t xml:space="preserve">The library runs on SharePoint Online within Microsoft 365, chosen for native versioning, retention labelling, audit trail and Power Automate approval workflow. One site collection — </w:t>
      </w:r>
      <w:r>
        <w:rPr>
          <w:rFonts w:ascii="Georgia" w:cs="Georgia" w:eastAsia="Georgia" w:hAnsi="Georgia"/>
          <w:b/>
          <w:bCs/>
          <w:color w:val="1F2328"/>
          <w:sz w:val="21"/>
          <w:szCs w:val="21"/>
        </w:rPr>
        <w:t xml:space="preserve">PC-Governance</w:t>
      </w:r>
      <w:r>
        <w:rPr>
          <w:rFonts w:ascii="Georgia" w:cs="Georgia" w:eastAsia="Georgia" w:hAnsi="Georgia"/>
          <w:color w:val="1F2328"/>
          <w:sz w:val="21"/>
          <w:szCs w:val="21"/>
        </w:rPr>
        <w:t xml:space="preserve"> — with document libraries per domain (GOV, HR, CLIN, QMS, IG, HSE, FIN, DIG, FAC, ENV, OPS) plus </w:t>
      </w:r>
      <w:r>
        <w:rPr>
          <w:rFonts w:ascii="Georgia" w:cs="Georgia" w:eastAsia="Georgia" w:hAnsi="Georgia"/>
          <w:b/>
          <w:bCs/>
          <w:color w:val="1F2328"/>
          <w:sz w:val="21"/>
          <w:szCs w:val="21"/>
        </w:rPr>
        <w:t xml:space="preserve">Registers</w:t>
      </w:r>
      <w:r>
        <w:rPr>
          <w:rFonts w:ascii="Georgia" w:cs="Georgia" w:eastAsia="Georgia" w:hAnsi="Georgia"/>
          <w:color w:val="1F2328"/>
          <w:sz w:val="21"/>
          <w:szCs w:val="21"/>
        </w:rPr>
        <w:t xml:space="preserve"> (lists, not files, wherever possible — a register as a SharePoint list is queryable, dashboard-ready and access-controlled per item) and </w:t>
      </w:r>
      <w:r>
        <w:rPr>
          <w:rFonts w:ascii="Georgia" w:cs="Georgia" w:eastAsia="Georgia" w:hAnsi="Georgia"/>
          <w:b/>
          <w:bCs/>
          <w:color w:val="1F2328"/>
          <w:sz w:val="21"/>
          <w:szCs w:val="21"/>
        </w:rPr>
        <w:t xml:space="preserve">Archive</w:t>
      </w:r>
      <w:r>
        <w:rPr>
          <w:rFonts w:ascii="Georgia" w:cs="Georgia" w:eastAsia="Georgia" w:hAnsi="Georgia"/>
          <w:color w:val="1F2328"/>
          <w:sz w:val="21"/>
          <w:szCs w:val="21"/>
        </w:rPr>
        <w:t xml:space="preserve"> (superseded versions, read-only).</w:t>
      </w:r>
    </w:p>
    <w:p>
      <w:pPr>
        <w:pStyle w:val="Heading2"/>
        <w:spacing w:after="140" w:before="300"/>
      </w:pPr>
      <w:r>
        <w:rPr>
          <w:rFonts w:ascii="Arial" w:cs="Arial" w:eastAsia="Arial" w:hAnsi="Arial"/>
          <w:b/>
          <w:bCs/>
          <w:color w:val="1E4B50"/>
          <w:sz w:val="24"/>
          <w:szCs w:val="24"/>
        </w:rPr>
        <w:t xml:space="preserve">7.2   </w:t>
      </w:r>
      <w:r>
        <w:rPr>
          <w:rFonts w:ascii="Arial" w:cs="Arial" w:eastAsia="Arial" w:hAnsi="Arial"/>
          <w:b/>
          <w:bCs/>
          <w:color w:val="1F2328"/>
          <w:sz w:val="24"/>
          <w:szCs w:val="24"/>
        </w:rPr>
        <w:t xml:space="preserve">Permissions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Group</w:t>
            </w:r>
          </w:p>
        </w:tc>
        <w:tc>
          <w:tcPr>
            <w:tcW w:type="dxa" w:w="63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Access</w:t>
            </w:r>
          </w:p>
        </w:tc>
      </w:tr>
      <w:tr>
        <w:trPr>
          <w:cantSplit/>
        </w:trPr>
        <w:tc>
          <w:tcPr>
            <w:tcW w:type="dxa" w:w="2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All staff</w:t>
            </w:r>
          </w:p>
        </w:tc>
        <w:tc>
          <w:tcPr>
            <w:tcW w:type="dxa" w:w="6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Read on published documents in their audience scope; write on nothing; no access to Archive or drafts</w:t>
            </w:r>
          </w:p>
        </w:tc>
      </w:tr>
      <w:tr>
        <w:trPr>
          <w:cantSplit/>
        </w:trPr>
        <w:tc>
          <w:tcPr>
            <w:tcW w:type="dxa" w:w="2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owners</w:t>
            </w:r>
          </w:p>
        </w:tc>
        <w:tc>
          <w:tcPr>
            <w:tcW w:type="dxa" w:w="6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Contribute in their domain's draft area; read elsewhere</w:t>
            </w:r>
          </w:p>
        </w:tc>
      </w:tr>
      <w:tr>
        <w:trPr>
          <w:cantSplit/>
        </w:trPr>
        <w:tc>
          <w:tcPr>
            <w:tcW w:type="dxa" w:w="2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PMO (Quality &amp; Compliance Mgr)</w:t>
            </w:r>
          </w:p>
        </w:tc>
        <w:tc>
          <w:tcPr>
            <w:tcW w:type="dxa" w:w="6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Full control of lifecycle metadata; manages publication; cannot approve</w:t>
            </w:r>
          </w:p>
        </w:tc>
      </w:tr>
      <w:tr>
        <w:trPr>
          <w:cantSplit/>
        </w:trPr>
        <w:tc>
          <w:tcPr>
            <w:tcW w:type="dxa" w:w="2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Approvers</w:t>
            </w:r>
          </w:p>
        </w:tc>
        <w:tc>
          <w:tcPr>
            <w:tcW w:type="dxa" w:w="6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Approve via workflow only — direct file edits by approvers are disabled by design (segregation of duties, PC-GOV-009)</w:t>
            </w:r>
          </w:p>
        </w:tc>
      </w:tr>
      <w:tr>
        <w:trPr>
          <w:cantSplit/>
        </w:trPr>
        <w:tc>
          <w:tcPr>
            <w:tcW w:type="dxa" w:w="2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6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Site admin; permission audits quarterly, logged in the information asset register</w:t>
            </w:r>
          </w:p>
        </w:tc>
      </w:tr>
      <w:tr>
        <w:trPr>
          <w:cantSplit/>
        </w:trPr>
        <w:tc>
          <w:tcPr>
            <w:tcW w:type="dxa" w:w="2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External auditors / municipal evaluators</w:t>
            </w:r>
          </w:p>
        </w:tc>
        <w:tc>
          <w:tcPr>
            <w:tcW w:type="dxa" w:w="6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Time-boxed read-only guest access to a curated evidence view, granted per engagement and logged</w:t>
            </w:r>
          </w:p>
        </w:tc>
      </w:tr>
    </w:tbl>
    <w:p>
      <w:pPr>
        <w:spacing w:after="200"/>
      </w:pPr>
    </w:p>
    <w:p>
      <w:pPr>
        <w:pStyle w:val="Heading2"/>
        <w:spacing w:after="140" w:before="300"/>
      </w:pPr>
      <w:r>
        <w:rPr>
          <w:rFonts w:ascii="Arial" w:cs="Arial" w:eastAsia="Arial" w:hAnsi="Arial"/>
          <w:b/>
          <w:bCs/>
          <w:color w:val="1E4B50"/>
          <w:sz w:val="24"/>
          <w:szCs w:val="24"/>
        </w:rPr>
        <w:t xml:space="preserve">7.3   </w:t>
      </w:r>
      <w:r>
        <w:rPr>
          <w:rFonts w:ascii="Arial" w:cs="Arial" w:eastAsia="Arial" w:hAnsi="Arial"/>
          <w:b/>
          <w:bCs/>
          <w:color w:val="1F2328"/>
          <w:sz w:val="24"/>
          <w:szCs w:val="24"/>
        </w:rPr>
        <w:t xml:space="preserve">Configuration standards</w:t>
      </w:r>
    </w:p>
    <w:p>
      <w:pPr>
        <w:pStyle w:val="ListParagraph"/>
        <w:numPr>
          <w:ilvl w:val="0"/>
          <w:numId w:val="2"/>
        </w:numPr>
        <w:spacing w:after="90" w:line="264"/>
      </w:pPr>
      <w:r>
        <w:rPr>
          <w:rFonts w:ascii="Georgia" w:cs="Georgia" w:eastAsia="Georgia" w:hAnsi="Georgia"/>
          <w:b/>
          <w:bCs/>
          <w:color w:val="1F2328"/>
          <w:sz w:val="21"/>
          <w:szCs w:val="21"/>
        </w:rPr>
        <w:t xml:space="preserve">Metadata:</w:t>
      </w:r>
      <w:r>
        <w:rPr>
          <w:rFonts w:ascii="Georgia" w:cs="Georgia" w:eastAsia="Georgia" w:hAnsi="Georgia"/>
          <w:color w:val="1F2328"/>
          <w:sz w:val="21"/>
          <w:szCs w:val="21"/>
        </w:rPr>
        <w:t xml:space="preserve"> site columns implement §5.3 one-to-one; content types per document class enforce the right template at creation.</w:t>
      </w:r>
    </w:p>
    <w:p>
      <w:pPr>
        <w:pStyle w:val="ListParagraph"/>
        <w:numPr>
          <w:ilvl w:val="0"/>
          <w:numId w:val="2"/>
        </w:numPr>
        <w:spacing w:after="90" w:line="264"/>
      </w:pPr>
      <w:r>
        <w:rPr>
          <w:rFonts w:ascii="Georgia" w:cs="Georgia" w:eastAsia="Georgia" w:hAnsi="Georgia"/>
          <w:b/>
          <w:bCs/>
          <w:color w:val="1F2328"/>
          <w:sz w:val="21"/>
          <w:szCs w:val="21"/>
        </w:rPr>
        <w:t xml:space="preserve">Versioning:</w:t>
      </w:r>
      <w:r>
        <w:rPr>
          <w:rFonts w:ascii="Georgia" w:cs="Georgia" w:eastAsia="Georgia" w:hAnsi="Georgia"/>
          <w:color w:val="1F2328"/>
          <w:sz w:val="21"/>
          <w:szCs w:val="21"/>
        </w:rPr>
        <w:t xml:space="preserve"> major/minor versioning on; drafts invisible to All Staff; publication = major version via approval workflow only.</w:t>
      </w:r>
    </w:p>
    <w:p>
      <w:pPr>
        <w:pStyle w:val="ListParagraph"/>
        <w:numPr>
          <w:ilvl w:val="0"/>
          <w:numId w:val="2"/>
        </w:numPr>
        <w:spacing w:after="90" w:line="264"/>
      </w:pPr>
      <w:r>
        <w:rPr>
          <w:rFonts w:ascii="Georgia" w:cs="Georgia" w:eastAsia="Georgia" w:hAnsi="Georgia"/>
          <w:b/>
          <w:bCs/>
          <w:color w:val="1F2328"/>
          <w:sz w:val="21"/>
          <w:szCs w:val="21"/>
        </w:rPr>
        <w:t xml:space="preserve">Workflow:</w:t>
      </w:r>
      <w:r>
        <w:rPr>
          <w:rFonts w:ascii="Georgia" w:cs="Georgia" w:eastAsia="Georgia" w:hAnsi="Georgia"/>
          <w:color w:val="1F2328"/>
          <w:sz w:val="21"/>
          <w:szCs w:val="21"/>
        </w:rPr>
        <w:t xml:space="preserve"> Power Automate implements Commission → Draft → Consultation → QA → Approval → Publish, writing the e-signature record of §5.4; read-acknowledgement flow assigns and chases acknowledgements and posts completion to the dashboard dataset.</w:t>
      </w:r>
    </w:p>
    <w:p>
      <w:pPr>
        <w:pStyle w:val="ListParagraph"/>
        <w:numPr>
          <w:ilvl w:val="0"/>
          <w:numId w:val="2"/>
        </w:numPr>
        <w:spacing w:after="90" w:line="264"/>
      </w:pPr>
      <w:r>
        <w:rPr>
          <w:rFonts w:ascii="Georgia" w:cs="Georgia" w:eastAsia="Georgia" w:hAnsi="Georgia"/>
          <w:b/>
          <w:bCs/>
          <w:color w:val="1F2328"/>
          <w:sz w:val="21"/>
          <w:szCs w:val="21"/>
        </w:rPr>
        <w:t xml:space="preserve">Retention:</w:t>
      </w:r>
      <w:r>
        <w:rPr>
          <w:rFonts w:ascii="Georgia" w:cs="Georgia" w:eastAsia="Georgia" w:hAnsi="Georgia"/>
          <w:color w:val="1F2328"/>
          <w:sz w:val="21"/>
          <w:szCs w:val="21"/>
        </w:rPr>
        <w:t xml:space="preserve"> Purview retention labels map one-to-one to PC-IG-009; disposition reviews are executed by the IG Lead and logged.</w:t>
      </w:r>
    </w:p>
    <w:p>
      <w:pPr>
        <w:pStyle w:val="ListParagraph"/>
        <w:numPr>
          <w:ilvl w:val="0"/>
          <w:numId w:val="2"/>
        </w:numPr>
        <w:spacing w:after="90" w:line="264"/>
      </w:pPr>
      <w:r>
        <w:rPr>
          <w:rFonts w:ascii="Georgia" w:cs="Georgia" w:eastAsia="Georgia" w:hAnsi="Georgia"/>
          <w:b/>
          <w:bCs/>
          <w:color w:val="1F2328"/>
          <w:sz w:val="21"/>
          <w:szCs w:val="21"/>
        </w:rPr>
        <w:t xml:space="preserve">Search:</w:t>
      </w:r>
      <w:r>
        <w:rPr>
          <w:rFonts w:ascii="Georgia" w:cs="Georgia" w:eastAsia="Georgia" w:hAnsi="Georgia"/>
          <w:color w:val="1F2328"/>
          <w:sz w:val="21"/>
          <w:szCs w:val="21"/>
        </w:rPr>
        <w:t xml:space="preserve"> metadata-driven; every staff query answerable by ID, title, domain, category or keyword within the reading pane.</w:t>
      </w:r>
    </w:p>
    <w:p>
      <w:pPr>
        <w:pStyle w:val="ListParagraph"/>
        <w:numPr>
          <w:ilvl w:val="0"/>
          <w:numId w:val="2"/>
        </w:numPr>
        <w:spacing w:after="90" w:line="264"/>
      </w:pPr>
      <w:r>
        <w:rPr>
          <w:rFonts w:ascii="Georgia" w:cs="Georgia" w:eastAsia="Georgia" w:hAnsi="Georgia"/>
          <w:b/>
          <w:bCs/>
          <w:color w:val="1F2328"/>
          <w:sz w:val="21"/>
          <w:szCs w:val="21"/>
        </w:rPr>
        <w:t xml:space="preserve">Audit trail:</w:t>
      </w:r>
      <w:r>
        <w:rPr>
          <w:rFonts w:ascii="Georgia" w:cs="Georgia" w:eastAsia="Georgia" w:hAnsi="Georgia"/>
          <w:color w:val="1F2328"/>
          <w:sz w:val="21"/>
          <w:szCs w:val="21"/>
        </w:rPr>
        <w:t xml:space="preserve"> M365 audit logging on for the site; access and permission-change reports reviewed quarterly by the IG Group.</w:t>
      </w:r>
    </w:p>
    <w:p>
      <w:pPr>
        <w:pStyle w:val="ListParagraph"/>
        <w:numPr>
          <w:ilvl w:val="0"/>
          <w:numId w:val="2"/>
        </w:numPr>
        <w:spacing w:after="90" w:line="264"/>
      </w:pPr>
      <w:r>
        <w:rPr>
          <w:rFonts w:ascii="Georgia" w:cs="Georgia" w:eastAsia="Georgia" w:hAnsi="Georgia"/>
          <w:b/>
          <w:bCs/>
          <w:color w:val="1F2328"/>
          <w:sz w:val="21"/>
          <w:szCs w:val="21"/>
        </w:rPr>
        <w:t xml:space="preserve">Dashboards:</w:t>
      </w:r>
      <w:r>
        <w:rPr>
          <w:rFonts w:ascii="Georgia" w:cs="Georgia" w:eastAsia="Georgia" w:hAnsi="Georgia"/>
          <w:color w:val="1F2328"/>
          <w:sz w:val="21"/>
          <w:szCs w:val="21"/>
        </w:rPr>
        <w:t xml:space="preserve"> Power BI reads the registers (lists) and document metadata directly — the Part 8 dashboards are views over live data, never rekeyed (P2).</w:t>
      </w:r>
    </w:p>
    <w:p>
      <w:pPr>
        <w:spacing w:after="160" w:line="276"/>
        <w:jc w:val="both"/>
      </w:pPr>
      <w:r>
        <w:rPr>
          <w:rFonts w:ascii="Georgia" w:cs="Georgia" w:eastAsia="Georgia" w:hAnsi="Georgia"/>
          <w:color w:val="1F2328"/>
          <w:sz w:val="21"/>
          <w:szCs w:val="21"/>
        </w:rPr>
        <w:t xml:space="preserve">The platform is built in Phase 2b and validated against this Part before gate G2. Configuration itself is a controlled instrument: the build workbook is registered in the OPS series and changes follow PC-DIG-003.</w:t>
      </w:r>
    </w:p>
    <w:p>
      <w:r>
        <w:br w:type="page"/>
      </w:r>
    </w:p>
    <w:p>
      <w:pPr>
        <w:pStyle w:val="Heading1"/>
        <w:pBdr>
          <w:bottom w:val="single" w:color="1E4B50" w:sz="6"/>
        </w:pBdr>
        <w:spacing w:after="200" w:before="420"/>
      </w:pPr>
      <w:r>
        <w:rPr>
          <w:rFonts w:ascii="Arial" w:cs="Arial" w:eastAsia="Arial" w:hAnsi="Arial"/>
          <w:b/>
          <w:bCs/>
          <w:color w:val="1E4B50"/>
          <w:sz w:val="30"/>
          <w:szCs w:val="30"/>
        </w:rPr>
        <w:t xml:space="preserve">PART 8   </w:t>
      </w:r>
      <w:r>
        <w:rPr>
          <w:rFonts w:ascii="Arial" w:cs="Arial" w:eastAsia="Arial" w:hAnsi="Arial"/>
          <w:b/>
          <w:bCs/>
          <w:color w:val="1F2328"/>
          <w:sz w:val="30"/>
          <w:szCs w:val="30"/>
        </w:rPr>
        <w:t xml:space="preserve">Governance Dashboards</w:t>
      </w:r>
    </w:p>
    <w:p>
      <w:pPr>
        <w:pStyle w:val="Heading2"/>
        <w:spacing w:after="140" w:before="300"/>
      </w:pPr>
      <w:r>
        <w:rPr>
          <w:rFonts w:ascii="Arial" w:cs="Arial" w:eastAsia="Arial" w:hAnsi="Arial"/>
          <w:b/>
          <w:bCs/>
          <w:color w:val="1E4B50"/>
          <w:sz w:val="24"/>
          <w:szCs w:val="24"/>
        </w:rPr>
        <w:t xml:space="preserve">8.1   </w:t>
      </w:r>
      <w:r>
        <w:rPr>
          <w:rFonts w:ascii="Arial" w:cs="Arial" w:eastAsia="Arial" w:hAnsi="Arial"/>
          <w:b/>
          <w:bCs/>
          <w:color w:val="1F2328"/>
          <w:sz w:val="24"/>
          <w:szCs w:val="24"/>
        </w:rPr>
        <w:t xml:space="preserve">Dashboard architecture</w:t>
      </w:r>
    </w:p>
    <w:p>
      <w:pPr>
        <w:spacing w:after="160" w:line="276"/>
        <w:jc w:val="both"/>
      </w:pPr>
      <w:r>
        <w:rPr>
          <w:rFonts w:ascii="Georgia" w:cs="Georgia" w:eastAsia="Georgia" w:hAnsi="Georgia"/>
          <w:color w:val="1F2328"/>
          <w:sz w:val="21"/>
          <w:szCs w:val="21"/>
        </w:rPr>
        <w:t xml:space="preserve">Nine dashboards render live register and platform data (P2). Monthly operational reporting to Executive Management; quarterly assurance reporting to the Board and committees; annually the same data compiles into the Annual Governance &amp; Assurance Statement — one dataset, three altitudes. RAG rules are fixed here so colour is never negotiable: Green = at or better than target; Amber and Red at the stated thresholds. Every Red carries a named owner and a dated action in the relevant register before the report is issued (P7).</w:t>
      </w:r>
    </w:p>
    <w:p>
      <w:pPr>
        <w:pStyle w:val="Heading2"/>
        <w:spacing w:after="140" w:before="300"/>
      </w:pPr>
      <w:r>
        <w:rPr>
          <w:rFonts w:ascii="Arial" w:cs="Arial" w:eastAsia="Arial" w:hAnsi="Arial"/>
          <w:b/>
          <w:bCs/>
          <w:color w:val="1E4B50"/>
          <w:sz w:val="24"/>
          <w:szCs w:val="24"/>
        </w:rPr>
        <w:t xml:space="preserve">8.2   </w:t>
      </w:r>
      <w:r>
        <w:rPr>
          <w:rFonts w:ascii="Arial" w:cs="Arial" w:eastAsia="Arial" w:hAnsi="Arial"/>
          <w:b/>
          <w:bCs/>
          <w:color w:val="1F2328"/>
          <w:sz w:val="24"/>
          <w:szCs w:val="24"/>
        </w:rPr>
        <w:t xml:space="preserve">Board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100"/>
        <w:gridCol w:w="2226"/>
      </w:tblGrid>
      <w:tr>
        <w:trPr>
          <w:cantSplit/>
          <w:tblHeader/>
        </w:trPr>
        <w:tc>
          <w:tcPr>
            <w:tcW w:type="dxa" w:w="3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Indicator</w:t>
            </w:r>
          </w:p>
        </w:tc>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Target</w:t>
            </w:r>
          </w:p>
        </w:tc>
        <w:tc>
          <w:tcPr>
            <w:tcW w:type="dxa" w:w="21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RAG thresholds (A / R)</w:t>
            </w:r>
          </w:p>
        </w:tc>
        <w:tc>
          <w:tcPr>
            <w:tcW w:type="dxa" w:w="22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Source</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library health: documents in force and within review cycle</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100%</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&lt;98% / &lt;95%</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register</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Risks above appetite with overdue actions</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0</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 ≥2</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register</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Serious UTH (severe harm) — count and closure</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0 open &gt;30 days</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 ≥2</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UTH register</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Safeguarding cases open beyond procedure timescale</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0</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 ≥2</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Safeguarding records</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Whistleblowing cases outside statutory response time</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0</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any</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Case register (anonymised)</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Municipal contract compliance (KPIs met per contract)</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100%</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&lt;95% / &lt;90%</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Contract reporting</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Financial control exceptions (DoA breaches, unreconciled items &gt;30 days)</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0</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1–2 / ≥3</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FIN registers</w:t>
            </w:r>
          </w:p>
        </w:tc>
      </w:tr>
    </w:tbl>
    <w:p>
      <w:pPr>
        <w:spacing w:after="200"/>
      </w:pPr>
    </w:p>
    <w:p>
      <w:pPr>
        <w:pStyle w:val="Heading2"/>
        <w:spacing w:after="140" w:before="300"/>
      </w:pPr>
      <w:r>
        <w:rPr>
          <w:rFonts w:ascii="Arial" w:cs="Arial" w:eastAsia="Arial" w:hAnsi="Arial"/>
          <w:b/>
          <w:bCs/>
          <w:color w:val="1E4B50"/>
          <w:sz w:val="24"/>
          <w:szCs w:val="24"/>
        </w:rPr>
        <w:t xml:space="preserve">8.3   </w:t>
      </w:r>
      <w:r>
        <w:rPr>
          <w:rFonts w:ascii="Arial" w:cs="Arial" w:eastAsia="Arial" w:hAnsi="Arial"/>
          <w:b/>
          <w:bCs/>
          <w:color w:val="1F2328"/>
          <w:sz w:val="24"/>
          <w:szCs w:val="24"/>
        </w:rPr>
        <w:t xml:space="preserve">CEO (Managing Director)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100"/>
        <w:gridCol w:w="2226"/>
      </w:tblGrid>
      <w:tr>
        <w:trPr>
          <w:cantSplit/>
          <w:tblHeader/>
        </w:trPr>
        <w:tc>
          <w:tcPr>
            <w:tcW w:type="dxa" w:w="3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Indicator</w:t>
            </w:r>
          </w:p>
        </w:tc>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Target</w:t>
            </w:r>
          </w:p>
        </w:tc>
        <w:tc>
          <w:tcPr>
            <w:tcW w:type="dxa" w:w="21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RAG thresholds (A / R)</w:t>
            </w:r>
          </w:p>
        </w:tc>
        <w:tc>
          <w:tcPr>
            <w:tcW w:type="dxa" w:w="22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Source</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Programme: documents approved vs schedule</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≥90%</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80–89% / &lt;80%</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PMO plan</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Staffing: filled-shift rate / agency reliance</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≥98% / ≤5%</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95–97% / &lt;95%</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Rostering system</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Citizen satisfaction (rolling quarter)</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≥4.5/5</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4.0–4.4 / &lt;4.0</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Feedback register</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Complaints acknowledged within 5 working days</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100%</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&lt;95% / &lt;90%</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Complaints register</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Sickness absence</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4–6% / &gt;6%</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system</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Read-acknowledgement completion within 10 days</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≥95%</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85–94% / &lt;85%</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Platform</w:t>
            </w:r>
          </w:p>
        </w:tc>
      </w:tr>
    </w:tbl>
    <w:p>
      <w:pPr>
        <w:spacing w:after="200"/>
      </w:pPr>
    </w:p>
    <w:p>
      <w:pPr>
        <w:pStyle w:val="Heading2"/>
        <w:spacing w:after="140" w:before="300"/>
      </w:pPr>
      <w:r>
        <w:rPr>
          <w:rFonts w:ascii="Arial" w:cs="Arial" w:eastAsia="Arial" w:hAnsi="Arial"/>
          <w:b/>
          <w:bCs/>
          <w:color w:val="1E4B50"/>
          <w:sz w:val="24"/>
          <w:szCs w:val="24"/>
        </w:rPr>
        <w:t xml:space="preserve">8.4   </w:t>
      </w:r>
      <w:r>
        <w:rPr>
          <w:rFonts w:ascii="Arial" w:cs="Arial" w:eastAsia="Arial" w:hAnsi="Arial"/>
          <w:b/>
          <w:bCs/>
          <w:color w:val="1F2328"/>
          <w:sz w:val="24"/>
          <w:szCs w:val="24"/>
        </w:rPr>
        <w:t xml:space="preserve">Clinical and quality dashboards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100"/>
        <w:gridCol w:w="2226"/>
      </w:tblGrid>
      <w:tr>
        <w:trPr>
          <w:cantSplit/>
          <w:tblHeader/>
        </w:trPr>
        <w:tc>
          <w:tcPr>
            <w:tcW w:type="dxa" w:w="3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Indicator</w:t>
            </w:r>
          </w:p>
        </w:tc>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Target</w:t>
            </w:r>
          </w:p>
        </w:tc>
        <w:tc>
          <w:tcPr>
            <w:tcW w:type="dxa" w:w="21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RAG thresholds (A / R)</w:t>
            </w:r>
          </w:p>
        </w:tc>
        <w:tc>
          <w:tcPr>
            <w:tcW w:type="dxa" w:w="22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Source</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Delegated tasks performed only by staff with live competency + delegation record</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100%</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any breach = Red</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Delegation REG × rostering</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Medication errors per 1,000 administrations (and % reported as UTH)</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trend ↓ / 100%</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judgement / &lt;100%</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UTH register</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UTH reports closed with learning action within 60 days</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≥90%</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75–89% / &lt;75%</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UTH register</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plans reviewed within cycle (§83a goals current)</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100%</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&lt;95% / &lt;90%</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EOJ</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Documentation audit score (PC-CLIN-005 standard)</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≥95%</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90–94% / &lt;90%</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audit</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Infection control audit score</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≥95%</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90–94% / &lt;90%</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IPC audit</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CAPA actions closed by due date</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≥90%</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80–89% / &lt;80%</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CAPA register</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Internal audit programme delivered to plan</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100%</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&lt;90% / &lt;75%</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Audit programme</w:t>
            </w:r>
          </w:p>
        </w:tc>
      </w:tr>
    </w:tbl>
    <w:p>
      <w:pPr>
        <w:spacing w:after="200"/>
      </w:pPr>
    </w:p>
    <w:p>
      <w:pPr>
        <w:pStyle w:val="Heading2"/>
        <w:spacing w:after="140" w:before="300"/>
      </w:pPr>
      <w:r>
        <w:rPr>
          <w:rFonts w:ascii="Arial" w:cs="Arial" w:eastAsia="Arial" w:hAnsi="Arial"/>
          <w:b/>
          <w:bCs/>
          <w:color w:val="1E4B50"/>
          <w:sz w:val="24"/>
          <w:szCs w:val="24"/>
        </w:rPr>
        <w:t xml:space="preserve">8.5   </w:t>
      </w:r>
      <w:r>
        <w:rPr>
          <w:rFonts w:ascii="Arial" w:cs="Arial" w:eastAsia="Arial" w:hAnsi="Arial"/>
          <w:b/>
          <w:bCs/>
          <w:color w:val="1F2328"/>
          <w:sz w:val="24"/>
          <w:szCs w:val="24"/>
        </w:rPr>
        <w:t xml:space="preserve">HR, compliance, risk, IG and H&amp;S dashboards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100"/>
        <w:gridCol w:w="2226"/>
      </w:tblGrid>
      <w:tr>
        <w:trPr>
          <w:cantSplit/>
          <w:tblHeader/>
        </w:trPr>
        <w:tc>
          <w:tcPr>
            <w:tcW w:type="dxa" w:w="3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Indicator</w:t>
            </w:r>
          </w:p>
        </w:tc>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Target</w:t>
            </w:r>
          </w:p>
        </w:tc>
        <w:tc>
          <w:tcPr>
            <w:tcW w:type="dxa" w:w="21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RAG thresholds (A / R)</w:t>
            </w:r>
          </w:p>
        </w:tc>
        <w:tc>
          <w:tcPr>
            <w:tcW w:type="dxa" w:w="22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Source</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Mandatory training current (per PC-HR-013 matrix)</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100%</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&lt;97% / &lt;93%</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Training REG</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Pre-employment checks complete before first shift (incl. straffeattest)</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100%</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any breach = Red</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Recruitment CHK</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Compliance obligations register: items reviewed on schedule</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100%</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&lt;95% / &lt;90%</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Obligations REG</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Regulatory findings (STPS, Arbejdstilsynet, municipal tilsyn) open past deadline</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0</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any</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Findings log</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register reviews completed on cycle</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100%</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&lt;90% / &lt;80%</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register</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GDPR: DSARs answered within one month / breaches notified within 72 h where required</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100% / 100%</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any lapse = Red</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registers</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ROPA and DPA register currency (verified quarterly)</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100%</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&lt;100% = Amber</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registers</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Cyber: patching within policy window / phishing-test failure rate</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≥98% / ≤5%</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90–97% / &lt;90%; 5–10% / &gt;10%</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IT tooling</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Workplace accidents: reported within statutory time / lost-time trend</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100% / ↓</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any late = Red / judgement</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Accident REG</w:t>
            </w:r>
          </w:p>
        </w:tc>
      </w:tr>
      <w:tr>
        <w:trPr>
          <w:cantSplit/>
        </w:trPr>
        <w:tc>
          <w:tcPr>
            <w:tcW w:type="dxa" w:w="3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Lone-worker check-in compliance</w:t>
            </w:r>
          </w:p>
        </w:tc>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100%</w:t>
            </w:r>
          </w:p>
        </w:tc>
        <w:tc>
          <w:tcPr>
            <w:tcW w:type="dxa" w:w="2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&lt;98% / &lt;95%</w:t>
            </w:r>
          </w:p>
        </w:tc>
        <w:tc>
          <w:tcPr>
            <w:tcW w:type="dxa" w:w="2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Check-in system</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APV actions closed by due date</w:t>
            </w:r>
          </w:p>
        </w:tc>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≥90%</w:t>
            </w:r>
          </w:p>
        </w:tc>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80–89% / &lt;80%</w:t>
            </w:r>
          </w:p>
        </w:tc>
        <w:tc>
          <w:tcPr>
            <w:tcW w:type="dxa" w:w="2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APV register</w:t>
            </w:r>
          </w:p>
        </w:tc>
      </w:tr>
    </w:tbl>
    <w:p>
      <w:pPr>
        <w:spacing w:after="80"/>
      </w:pPr>
    </w:p>
    <w:p>
      <w:pPr>
        <w:spacing w:after="160" w:line="276"/>
        <w:jc w:val="both"/>
      </w:pPr>
      <w:r>
        <w:rPr>
          <w:rFonts w:ascii="Georgia" w:cs="Georgia" w:eastAsia="Georgia" w:hAnsi="Georgia"/>
          <w:color w:val="1F2328"/>
          <w:sz w:val="21"/>
          <w:szCs w:val="21"/>
        </w:rPr>
        <w:t xml:space="preserve">Committee-level scorecards are subsets of the above filtered to each committee's oversight slice (PC-GOV-000 §12); no committee receives a metric the Board cannot see.</w:t>
      </w:r>
    </w:p>
    <w:p>
      <w:r>
        <w:br w:type="page"/>
      </w:r>
    </w:p>
    <w:p>
      <w:pPr>
        <w:pStyle w:val="Heading1"/>
        <w:pBdr>
          <w:bottom w:val="single" w:color="1E4B50" w:sz="6"/>
        </w:pBdr>
        <w:spacing w:after="200" w:before="420"/>
      </w:pPr>
      <w:r>
        <w:rPr>
          <w:rFonts w:ascii="Arial" w:cs="Arial" w:eastAsia="Arial" w:hAnsi="Arial"/>
          <w:b/>
          <w:bCs/>
          <w:color w:val="1E4B50"/>
          <w:sz w:val="30"/>
          <w:szCs w:val="30"/>
        </w:rPr>
        <w:t xml:space="preserve">PART 9   </w:t>
      </w:r>
      <w:r>
        <w:rPr>
          <w:rFonts w:ascii="Arial" w:cs="Arial" w:eastAsia="Arial" w:hAnsi="Arial"/>
          <w:b/>
          <w:bCs/>
          <w:color w:val="1F2328"/>
          <w:sz w:val="30"/>
          <w:szCs w:val="30"/>
        </w:rPr>
        <w:t xml:space="preserve">Risk Management Operating Model</w:t>
      </w:r>
    </w:p>
    <w:p>
      <w:pPr>
        <w:pStyle w:val="Heading2"/>
        <w:spacing w:after="140" w:before="300"/>
      </w:pPr>
      <w:r>
        <w:rPr>
          <w:rFonts w:ascii="Arial" w:cs="Arial" w:eastAsia="Arial" w:hAnsi="Arial"/>
          <w:b/>
          <w:bCs/>
          <w:color w:val="1E4B50"/>
          <w:sz w:val="24"/>
          <w:szCs w:val="24"/>
        </w:rPr>
        <w:t xml:space="preserve">9.1   </w:t>
      </w:r>
      <w:r>
        <w:rPr>
          <w:rFonts w:ascii="Arial" w:cs="Arial" w:eastAsia="Arial" w:hAnsi="Arial"/>
          <w:b/>
          <w:bCs/>
          <w:color w:val="1F2328"/>
          <w:sz w:val="24"/>
          <w:szCs w:val="24"/>
        </w:rPr>
        <w:t xml:space="preserve">Three lines model</w:t>
      </w:r>
    </w:p>
    <w:p>
      <w:pPr>
        <w:spacing w:after="160" w:line="276"/>
        <w:jc w:val="both"/>
      </w:pPr>
      <w:r>
        <w:rPr>
          <w:rFonts w:ascii="Georgia" w:cs="Georgia" w:eastAsia="Georgia" w:hAnsi="Georgia"/>
          <w:color w:val="1F2328"/>
          <w:sz w:val="21"/>
          <w:szCs w:val="21"/>
        </w:rPr>
        <w:t xml:space="preserve">Premium Care operates the Three Lines Model proportionately: </w:t>
      </w:r>
      <w:r>
        <w:rPr>
          <w:rFonts w:ascii="Georgia" w:cs="Georgia" w:eastAsia="Georgia" w:hAnsi="Georgia"/>
          <w:b/>
          <w:bCs/>
          <w:color w:val="1F2328"/>
          <w:sz w:val="21"/>
          <w:szCs w:val="21"/>
        </w:rPr>
        <w:t xml:space="preserve">first line</w:t>
      </w:r>
      <w:r>
        <w:rPr>
          <w:rFonts w:ascii="Georgia" w:cs="Georgia" w:eastAsia="Georgia" w:hAnsi="Georgia"/>
          <w:color w:val="1F2328"/>
          <w:sz w:val="21"/>
          <w:szCs w:val="21"/>
        </w:rPr>
        <w:t xml:space="preserve"> — care teams and managers own and manage risk within controls; </w:t>
      </w:r>
      <w:r>
        <w:rPr>
          <w:rFonts w:ascii="Georgia" w:cs="Georgia" w:eastAsia="Georgia" w:hAnsi="Georgia"/>
          <w:b/>
          <w:bCs/>
          <w:color w:val="1F2328"/>
          <w:sz w:val="21"/>
          <w:szCs w:val="21"/>
        </w:rPr>
        <w:t xml:space="preserve">second line</w:t>
      </w:r>
      <w:r>
        <w:rPr>
          <w:rFonts w:ascii="Georgia" w:cs="Georgia" w:eastAsia="Georgia" w:hAnsi="Georgia"/>
          <w:color w:val="1F2328"/>
          <w:sz w:val="21"/>
          <w:szCs w:val="21"/>
        </w:rPr>
        <w:t xml:space="preserve"> — Quality &amp; Compliance, IG Lead and H&amp;S Lead set frameworks, monitor and challenge; </w:t>
      </w:r>
      <w:r>
        <w:rPr>
          <w:rFonts w:ascii="Georgia" w:cs="Georgia" w:eastAsia="Georgia" w:hAnsi="Georgia"/>
          <w:b/>
          <w:bCs/>
          <w:color w:val="1F2328"/>
          <w:sz w:val="21"/>
          <w:szCs w:val="21"/>
        </w:rPr>
        <w:t xml:space="preserve">third line</w:t>
      </w:r>
      <w:r>
        <w:rPr>
          <w:rFonts w:ascii="Georgia" w:cs="Georgia" w:eastAsia="Georgia" w:hAnsi="Georgia"/>
          <w:color w:val="1F2328"/>
          <w:sz w:val="21"/>
          <w:szCs w:val="21"/>
        </w:rPr>
        <w:t xml:space="preserve"> — internal audit (PC-QMS-004, independent of the activities audited, externally sourced where independence requires) provides assurance to the Board via the Risk, Audit &amp; Compliance Committee once activated. At founding scale the lines are thin but the separation of </w:t>
      </w:r>
      <w:r>
        <w:rPr>
          <w:rFonts w:ascii="Georgia" w:cs="Georgia" w:eastAsia="Georgia" w:hAnsi="Georgia"/>
          <w:i/>
          <w:iCs/>
          <w:color w:val="1F2328"/>
          <w:sz w:val="21"/>
          <w:szCs w:val="21"/>
        </w:rPr>
        <w:t xml:space="preserve">doing</w:t>
      </w:r>
      <w:r>
        <w:rPr>
          <w:rFonts w:ascii="Georgia" w:cs="Georgia" w:eastAsia="Georgia" w:hAnsi="Georgia"/>
          <w:color w:val="1F2328"/>
          <w:sz w:val="21"/>
          <w:szCs w:val="21"/>
        </w:rPr>
        <w:t xml:space="preserve">, </w:t>
      </w:r>
      <w:r>
        <w:rPr>
          <w:rFonts w:ascii="Georgia" w:cs="Georgia" w:eastAsia="Georgia" w:hAnsi="Georgia"/>
          <w:i/>
          <w:iCs/>
          <w:color w:val="1F2328"/>
          <w:sz w:val="21"/>
          <w:szCs w:val="21"/>
        </w:rPr>
        <w:t xml:space="preserve">overseeing</w:t>
      </w:r>
      <w:r>
        <w:rPr>
          <w:rFonts w:ascii="Georgia" w:cs="Georgia" w:eastAsia="Georgia" w:hAnsi="Georgia"/>
          <w:color w:val="1F2328"/>
          <w:sz w:val="21"/>
          <w:szCs w:val="21"/>
        </w:rPr>
        <w:t xml:space="preserve"> and </w:t>
      </w:r>
      <w:r>
        <w:rPr>
          <w:rFonts w:ascii="Georgia" w:cs="Georgia" w:eastAsia="Georgia" w:hAnsi="Georgia"/>
          <w:i/>
          <w:iCs/>
          <w:color w:val="1F2328"/>
          <w:sz w:val="21"/>
          <w:szCs w:val="21"/>
        </w:rPr>
        <w:t xml:space="preserve">assuring</w:t>
      </w:r>
      <w:r>
        <w:rPr>
          <w:rFonts w:ascii="Georgia" w:cs="Georgia" w:eastAsia="Georgia" w:hAnsi="Georgia"/>
          <w:color w:val="1F2328"/>
          <w:sz w:val="21"/>
          <w:szCs w:val="21"/>
        </w:rPr>
        <w:t xml:space="preserve"> is preserved — the compensating controls of PC-GOV-009 apply where roles combine.</w:t>
      </w:r>
    </w:p>
    <w:p>
      <w:pPr>
        <w:pStyle w:val="Heading2"/>
        <w:spacing w:after="140" w:before="300"/>
      </w:pPr>
      <w:r>
        <w:rPr>
          <w:rFonts w:ascii="Arial" w:cs="Arial" w:eastAsia="Arial" w:hAnsi="Arial"/>
          <w:b/>
          <w:bCs/>
          <w:color w:val="1E4B50"/>
          <w:sz w:val="24"/>
          <w:szCs w:val="24"/>
        </w:rPr>
        <w:t xml:space="preserve">9.2   </w:t>
      </w:r>
      <w:r>
        <w:rPr>
          <w:rFonts w:ascii="Arial" w:cs="Arial" w:eastAsia="Arial" w:hAnsi="Arial"/>
          <w:b/>
          <w:bCs/>
          <w:color w:val="1F2328"/>
          <w:sz w:val="24"/>
          <w:szCs w:val="24"/>
        </w:rPr>
        <w:t xml:space="preserve">Risk taxonomy and appetite</w:t>
      </w:r>
    </w:p>
    <w:p>
      <w:pPr>
        <w:spacing w:after="160" w:line="276"/>
        <w:jc w:val="both"/>
      </w:pPr>
      <w:r>
        <w:rPr>
          <w:rFonts w:ascii="Georgia" w:cs="Georgia" w:eastAsia="Georgia" w:hAnsi="Georgia"/>
          <w:color w:val="1F2328"/>
          <w:sz w:val="21"/>
          <w:szCs w:val="21"/>
        </w:rPr>
        <w:t xml:space="preserve">One enterprise scale (5×5, likelihood × consequence) with consequence anchored per category so a '4' means the same severity everywhere. Appetite is set by the Board annually; the operating positions at 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Category</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Appetite</w:t>
            </w:r>
          </w:p>
        </w:tc>
        <w:tc>
          <w:tcPr>
            <w:tcW w:type="dxa" w:w="50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Meaning in operation</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Patient safety &amp; safeguarding</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Minimal</w:t>
            </w:r>
          </w:p>
        </w:tc>
        <w:tc>
          <w:tcPr>
            <w:tcW w:type="dxa" w:w="5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tolerance for preventable severe harm; delegation only with live competency evidence; safeguarding timescales are absolute.</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Regulatory &amp; legal</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Minimal</w:t>
            </w:r>
          </w:p>
        </w:tc>
        <w:tc>
          <w:tcPr>
            <w:tcW w:type="dxa" w:w="5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knowing breach; findings remediated ahead of deadline; statutory registers always current.</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delivery</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Cautious</w:t>
            </w:r>
          </w:p>
        </w:tc>
        <w:tc>
          <w:tcPr>
            <w:tcW w:type="dxa" w:w="5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Innovation in care models welcomed within PC-CLIN-011 governance and with measured pilots.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&amp; cyber</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Cautious</w:t>
            </w:r>
          </w:p>
        </w:tc>
        <w:tc>
          <w:tcPr>
            <w:tcW w:type="dxa" w:w="5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data minimised, encrypted, access-controlled; no tolerance for unassessed new processing (DPIA first).</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Financial</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Cautious</w:t>
            </w:r>
          </w:p>
        </w:tc>
        <w:tc>
          <w:tcPr>
            <w:tcW w:type="dxa" w:w="5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Growth funded within covenant headroom; no single municipal contract &gt;60% of revenue by 2028.</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Operational &amp; people</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Balanced</w:t>
            </w:r>
          </w:p>
        </w:tc>
        <w:tc>
          <w:tcPr>
            <w:tcW w:type="dxa" w:w="5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Managed flexibility in rostering and recruitment; agency reliance capped (dashboard 8.3).</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Strategic &amp; reputational</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Balanced</w:t>
            </w:r>
          </w:p>
        </w:tc>
        <w:tc>
          <w:tcPr>
            <w:tcW w:type="dxa" w:w="5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Bold market positioning accepted; brand promises must be evidenced by the QMS before they are made.</w:t>
            </w:r>
          </w:p>
        </w:tc>
      </w:tr>
    </w:tbl>
    <w:p>
      <w:pPr>
        <w:spacing w:after="200"/>
      </w:pPr>
    </w:p>
    <w:p>
      <w:pPr>
        <w:pStyle w:val="Heading2"/>
        <w:spacing w:after="140" w:before="300"/>
      </w:pPr>
      <w:r>
        <w:rPr>
          <w:rFonts w:ascii="Arial" w:cs="Arial" w:eastAsia="Arial" w:hAnsi="Arial"/>
          <w:b/>
          <w:bCs/>
          <w:color w:val="1E4B50"/>
          <w:sz w:val="24"/>
          <w:szCs w:val="24"/>
        </w:rPr>
        <w:t xml:space="preserve">9.3   </w:t>
      </w:r>
      <w:r>
        <w:rPr>
          <w:rFonts w:ascii="Arial" w:cs="Arial" w:eastAsia="Arial" w:hAnsi="Arial"/>
          <w:b/>
          <w:bCs/>
          <w:color w:val="1F2328"/>
          <w:sz w:val="24"/>
          <w:szCs w:val="24"/>
        </w:rPr>
        <w:t xml:space="preserve">Registers, escalation and Board assurance</w:t>
      </w:r>
    </w:p>
    <w:p>
      <w:pPr>
        <w:pStyle w:val="ListParagraph"/>
        <w:numPr>
          <w:ilvl w:val="0"/>
          <w:numId w:val="2"/>
        </w:numPr>
        <w:spacing w:after="90" w:line="264"/>
      </w:pPr>
      <w:r>
        <w:rPr>
          <w:rFonts w:ascii="Georgia" w:cs="Georgia" w:eastAsia="Georgia" w:hAnsi="Georgia"/>
          <w:b/>
          <w:bCs/>
          <w:color w:val="1F2328"/>
          <w:sz w:val="21"/>
          <w:szCs w:val="21"/>
        </w:rPr>
        <w:t xml:space="preserve">Registers.</w:t>
      </w:r>
      <w:r>
        <w:rPr>
          <w:rFonts w:ascii="Georgia" w:cs="Georgia" w:eastAsia="Georgia" w:hAnsi="Georgia"/>
          <w:color w:val="1F2328"/>
          <w:sz w:val="21"/>
          <w:szCs w:val="21"/>
        </w:rPr>
        <w:t xml:space="preserve"> One enterprise risk register (PC-GOV-008) with domain views — clinical (PC-CLIN-009), cyber/GDPR, HSE, financial, programme (§3.5). One schema: risk, causes, consequences, inherent score, controls, residual score, appetite position, owner, actions, review date.</w:t>
      </w:r>
    </w:p>
    <w:p>
      <w:pPr>
        <w:pStyle w:val="ListParagraph"/>
        <w:numPr>
          <w:ilvl w:val="0"/>
          <w:numId w:val="2"/>
        </w:numPr>
        <w:spacing w:after="90" w:line="264"/>
      </w:pPr>
      <w:r>
        <w:rPr>
          <w:rFonts w:ascii="Georgia" w:cs="Georgia" w:eastAsia="Georgia" w:hAnsi="Georgia"/>
          <w:b/>
          <w:bCs/>
          <w:color w:val="1F2328"/>
          <w:sz w:val="21"/>
          <w:szCs w:val="21"/>
        </w:rPr>
        <w:t xml:space="preserve">Escalation.</w:t>
      </w:r>
      <w:r>
        <w:rPr>
          <w:rFonts w:ascii="Georgia" w:cs="Georgia" w:eastAsia="Georgia" w:hAnsi="Georgia"/>
          <w:color w:val="1F2328"/>
          <w:sz w:val="21"/>
          <w:szCs w:val="21"/>
        </w:rPr>
        <w:t xml:space="preserve"> Any residual risk above appetite escalates to Executive Management within five working days and to the Board at its next sitting; any risk scoring 20–25, or any safeguarding/patient-safety risk crystallising, escalates immediately. Acceptance of an above-appetite risk is a Board decision, minuted with rationale and review date.</w:t>
      </w:r>
    </w:p>
    <w:p>
      <w:pPr>
        <w:pStyle w:val="ListParagraph"/>
        <w:numPr>
          <w:ilvl w:val="0"/>
          <w:numId w:val="2"/>
        </w:numPr>
        <w:spacing w:after="90" w:line="264"/>
      </w:pPr>
      <w:r>
        <w:rPr>
          <w:rFonts w:ascii="Georgia" w:cs="Georgia" w:eastAsia="Georgia" w:hAnsi="Georgia"/>
          <w:b/>
          <w:bCs/>
          <w:color w:val="1F2328"/>
          <w:sz w:val="21"/>
          <w:szCs w:val="21"/>
        </w:rPr>
        <w:t xml:space="preserve">Board Assurance Framework.</w:t>
      </w:r>
      <w:r>
        <w:rPr>
          <w:rFonts w:ascii="Georgia" w:cs="Georgia" w:eastAsia="Georgia" w:hAnsi="Georgia"/>
          <w:color w:val="1F2328"/>
          <w:sz w:val="21"/>
          <w:szCs w:val="21"/>
        </w:rPr>
        <w:t xml:space="preserve"> Each principal risk maps to: the controls relied on, the first/second/third-line assurances received, and gaps in control or assurance — reviewed quarterly, and forming the risk section of the Annual Governance &amp; Assurance Statement. Business continuity assurance (PC-IG-010) is tested annually by scenario exercise, care-continuity scenario first.</w:t>
      </w:r>
    </w:p>
    <w:p>
      <w:r>
        <w:br w:type="page"/>
      </w:r>
    </w:p>
    <w:p>
      <w:pPr>
        <w:pStyle w:val="Heading1"/>
        <w:pBdr>
          <w:bottom w:val="single" w:color="1E4B50" w:sz="6"/>
        </w:pBdr>
        <w:spacing w:after="200" w:before="420"/>
      </w:pPr>
      <w:r>
        <w:rPr>
          <w:rFonts w:ascii="Arial" w:cs="Arial" w:eastAsia="Arial" w:hAnsi="Arial"/>
          <w:b/>
          <w:bCs/>
          <w:color w:val="1E4B50"/>
          <w:sz w:val="30"/>
          <w:szCs w:val="30"/>
        </w:rPr>
        <w:t xml:space="preserve">PART 10   </w:t>
      </w:r>
      <w:r>
        <w:rPr>
          <w:rFonts w:ascii="Arial" w:cs="Arial" w:eastAsia="Arial" w:hAnsi="Arial"/>
          <w:b/>
          <w:bCs/>
          <w:color w:val="1F2328"/>
          <w:sz w:val="30"/>
          <w:szCs w:val="30"/>
        </w:rPr>
        <w:t xml:space="preserve">Quality Operating Model</w:t>
      </w:r>
    </w:p>
    <w:p>
      <w:pPr>
        <w:pStyle w:val="Heading2"/>
        <w:spacing w:after="140" w:before="300"/>
      </w:pPr>
      <w:r>
        <w:rPr>
          <w:rFonts w:ascii="Arial" w:cs="Arial" w:eastAsia="Arial" w:hAnsi="Arial"/>
          <w:b/>
          <w:bCs/>
          <w:color w:val="1E4B50"/>
          <w:sz w:val="24"/>
          <w:szCs w:val="24"/>
        </w:rPr>
        <w:t xml:space="preserve">10.1   </w:t>
      </w:r>
      <w:r>
        <w:rPr>
          <w:rFonts w:ascii="Arial" w:cs="Arial" w:eastAsia="Arial" w:hAnsi="Arial"/>
          <w:b/>
          <w:bCs/>
          <w:color w:val="1F2328"/>
          <w:sz w:val="24"/>
          <w:szCs w:val="24"/>
        </w:rPr>
        <w:t xml:space="preserve">One improvement engine</w:t>
      </w:r>
    </w:p>
    <w:p>
      <w:pPr>
        <w:spacing w:after="160" w:line="276"/>
        <w:jc w:val="both"/>
      </w:pPr>
      <w:r>
        <w:rPr>
          <w:rFonts w:ascii="Georgia" w:cs="Georgia" w:eastAsia="Georgia" w:hAnsi="Georgia"/>
          <w:color w:val="1F2328"/>
          <w:sz w:val="21"/>
          <w:szCs w:val="21"/>
        </w:rPr>
        <w:t xml:space="preserve">Quality runs as a single closed loop with many inputs and one machinery. </w:t>
      </w:r>
      <w:r>
        <w:rPr>
          <w:rFonts w:ascii="Georgia" w:cs="Georgia" w:eastAsia="Georgia" w:hAnsi="Georgia"/>
          <w:b/>
          <w:bCs/>
          <w:color w:val="1F2328"/>
          <w:sz w:val="21"/>
          <w:szCs w:val="21"/>
        </w:rPr>
        <w:t xml:space="preserve">Inputs:</w:t>
      </w:r>
      <w:r>
        <w:rPr>
          <w:rFonts w:ascii="Georgia" w:cs="Georgia" w:eastAsia="Georgia" w:hAnsi="Georgia"/>
          <w:color w:val="1F2328"/>
          <w:sz w:val="21"/>
          <w:szCs w:val="21"/>
        </w:rPr>
        <w:t xml:space="preserve"> clinical audit (PC-CLIN-006), internal audit (PC-QMS-004), external and municipal audits, UTH learning (PC-CLIN-008), complaints and citizen feedback (PC-QMS-010), workplace accidents and APV (HSE suite), KPI exceptions (Part 8), supplier performance (PC-QMS-011) and staff improvement proposals. </w:t>
      </w:r>
      <w:r>
        <w:rPr>
          <w:rFonts w:ascii="Georgia" w:cs="Georgia" w:eastAsia="Georgia" w:hAnsi="Georgia"/>
          <w:b/>
          <w:bCs/>
          <w:color w:val="1F2328"/>
          <w:sz w:val="21"/>
          <w:szCs w:val="21"/>
        </w:rPr>
        <w:t xml:space="preserve">Machinery:</w:t>
      </w:r>
      <w:r>
        <w:rPr>
          <w:rFonts w:ascii="Georgia" w:cs="Georgia" w:eastAsia="Georgia" w:hAnsi="Georgia"/>
          <w:color w:val="1F2328"/>
          <w:sz w:val="21"/>
          <w:szCs w:val="21"/>
        </w:rPr>
        <w:t xml:space="preserve"> every input generates a finding; every finding is triaged into CAPA (PC-QMS-005) with owner, root cause, action, due date and verification of effectiveness; themes are extracted quarterly as lessons learned and published as learning bulletins; effectiveness is tested at the next audit touch. </w:t>
      </w:r>
      <w:r>
        <w:rPr>
          <w:rFonts w:ascii="Georgia" w:cs="Georgia" w:eastAsia="Georgia" w:hAnsi="Georgia"/>
          <w:b/>
          <w:bCs/>
          <w:color w:val="1F2328"/>
          <w:sz w:val="21"/>
          <w:szCs w:val="21"/>
        </w:rPr>
        <w:t xml:space="preserve">Output:</w:t>
      </w:r>
      <w:r>
        <w:rPr>
          <w:rFonts w:ascii="Georgia" w:cs="Georgia" w:eastAsia="Georgia" w:hAnsi="Georgia"/>
          <w:color w:val="1F2328"/>
          <w:sz w:val="21"/>
          <w:szCs w:val="21"/>
        </w:rPr>
        <w:t xml:space="preserve"> the annual Management Review (PC-QMS-006) judges the whole system — quality policy, objectives, KPI trends, audit results, citizen voice, resource adequacy — and sets next-year objectives, closing the loop at governance level.</w:t>
      </w:r>
    </w:p>
    <w:p>
      <w:pPr>
        <w:pStyle w:val="Heading2"/>
        <w:spacing w:after="140" w:before="300"/>
      </w:pPr>
      <w:r>
        <w:rPr>
          <w:rFonts w:ascii="Arial" w:cs="Arial" w:eastAsia="Arial" w:hAnsi="Arial"/>
          <w:b/>
          <w:bCs/>
          <w:color w:val="1E4B50"/>
          <w:sz w:val="24"/>
          <w:szCs w:val="24"/>
        </w:rPr>
        <w:t xml:space="preserve">10.2   </w:t>
      </w:r>
      <w:r>
        <w:rPr>
          <w:rFonts w:ascii="Arial" w:cs="Arial" w:eastAsia="Arial" w:hAnsi="Arial"/>
          <w:b/>
          <w:bCs/>
          <w:color w:val="1F2328"/>
          <w:sz w:val="24"/>
          <w:szCs w:val="24"/>
        </w:rPr>
        <w:t xml:space="preserve">Annual audit programme (year-one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26"/>
      </w:tblGrid>
      <w:tr>
        <w:trPr>
          <w:cantSplit/>
          <w:tblHeader/>
        </w:trPr>
        <w:tc>
          <w:tcPr>
            <w:tcW w:type="dxa" w:w="3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Audit</w:t>
            </w:r>
          </w:p>
        </w:tc>
        <w:tc>
          <w:tcPr>
            <w:tcW w:type="dxa" w:w="2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Quarter</w:t>
            </w:r>
          </w:p>
        </w:tc>
        <w:tc>
          <w:tcPr>
            <w:tcW w:type="dxa" w:w="34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Standard tested</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control &amp; register currency</w:t>
            </w:r>
          </w:p>
        </w:tc>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Q1</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PC-GOV-000, PC-QMS-008</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Delegation, competency &amp; training evidence</w:t>
            </w:r>
          </w:p>
        </w:tc>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Q1</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PC-CLIN-003/010, PC-HR-010/013</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documentation (EOJ sample)</w:t>
            </w:r>
          </w:p>
        </w:tc>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Q2</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PC-CLIN-005, journalføringsbekendtgørelsen</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Medication management</w:t>
            </w:r>
          </w:p>
        </w:tc>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Q2</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PC-CLIN-003 + instrukser</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GDPR operations (ROPA, DSAR, breach readiness)</w:t>
            </w:r>
          </w:p>
        </w:tc>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Q3</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PC-IG-002</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Complaints &amp; UTH loop closure</w:t>
            </w:r>
          </w:p>
        </w:tc>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Q3</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PC-QMS-010, PC-CLIN-008</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HSE: APV actions, lone working, accidents</w:t>
            </w:r>
          </w:p>
        </w:tc>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Q4</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HSE suite</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Financial controls &amp; DoA compliance</w:t>
            </w:r>
          </w:p>
        </w:tc>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Q4</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PC-GOV-011, PC-GOV-005/006</w:t>
            </w:r>
          </w:p>
        </w:tc>
      </w:tr>
    </w:tbl>
    <w:p>
      <w:pPr>
        <w:spacing w:after="80"/>
      </w:pPr>
    </w:p>
    <w:p>
      <w:pPr>
        <w:spacing w:after="160" w:line="276"/>
        <w:jc w:val="both"/>
      </w:pPr>
      <w:r>
        <w:rPr>
          <w:rFonts w:ascii="Georgia" w:cs="Georgia" w:eastAsia="Georgia" w:hAnsi="Georgia"/>
          <w:color w:val="1F2328"/>
          <w:sz w:val="21"/>
          <w:szCs w:val="21"/>
        </w:rPr>
        <w:t xml:space="preserve">Citizen feedback is gathered continuously (visit-level micro-feedback), quarterly (structured survey) and always (complaints route, actively signposted — a low complaint count with low signposting is treated as a warning sign, not a success). Benchmarking begins in year two: municipal quality-standard comparators, Danmarks Statistik sector indicators and, once certified, ISO surveillance findings against sector norms.</w:t>
      </w:r>
    </w:p>
    <w:p>
      <w:r>
        <w:br w:type="page"/>
      </w:r>
    </w:p>
    <w:p>
      <w:pPr>
        <w:pStyle w:val="Heading1"/>
        <w:pBdr>
          <w:bottom w:val="single" w:color="1E4B50" w:sz="6"/>
        </w:pBdr>
        <w:spacing w:after="200" w:before="420"/>
      </w:pPr>
      <w:r>
        <w:rPr>
          <w:rFonts w:ascii="Arial" w:cs="Arial" w:eastAsia="Arial" w:hAnsi="Arial"/>
          <w:b/>
          <w:bCs/>
          <w:color w:val="1E4B50"/>
          <w:sz w:val="30"/>
          <w:szCs w:val="30"/>
        </w:rPr>
        <w:t xml:space="preserve">PART 11   </w:t>
      </w:r>
      <w:r>
        <w:rPr>
          <w:rFonts w:ascii="Arial" w:cs="Arial" w:eastAsia="Arial" w:hAnsi="Arial"/>
          <w:b/>
          <w:bCs/>
          <w:color w:val="1F2328"/>
          <w:sz w:val="30"/>
          <w:szCs w:val="30"/>
        </w:rPr>
        <w:t xml:space="preserve">Accreditation and Maturity Roadmap (2026–2031)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Year</w:t>
            </w:r>
          </w:p>
        </w:tc>
        <w:tc>
          <w:tcPr>
            <w:tcW w:type="dxa" w:w="75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Milestones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2026</w:t>
            </w:r>
          </w:p>
        </w:tc>
        <w:tc>
          <w:tcPr>
            <w:tcW w:type="dxa" w:w="7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G1–G3: architecture and PCOS approved; corporate + clinical suites in force; platform live; registers populated; care delivery commences behind the G3 gate; first municipal tender submitted on live evidence.</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2027</w:t>
            </w:r>
          </w:p>
        </w:tc>
        <w:tc>
          <w:tcPr>
            <w:tcW w:type="dxa" w:w="7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G4–G5: full library in force; first internal audit cycle and Management Review; first Annual Governance &amp; Assurance Statement; ISO 9001 gap assessment against the operating QMS; maturity Level 3 across domains.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2028</w:t>
            </w:r>
          </w:p>
        </w:tc>
        <w:tc>
          <w:tcPr>
            <w:tcW w:type="dxa" w:w="7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ISO 9001 certification</w:t>
            </w:r>
            <w:r>
              <w:rPr>
                <w:rFonts w:ascii="Arial" w:cs="Arial" w:eastAsia="Arial" w:hAnsi="Arial"/>
                <w:b w:val="false"/>
                <w:bCs w:val="false"/>
                <w:color w:val="1F2328"/>
                <w:sz w:val="18"/>
                <w:szCs w:val="18"/>
              </w:rPr>
              <w:t xml:space="preserve"> (stage 1 + 2); DDKM readiness assessment against current IKAS programme for private providers; second site opened under the multi-site model (PC-GOV-000 §13); quality and IG domains reach Level 4.</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2029</w:t>
            </w:r>
          </w:p>
        </w:tc>
        <w:tc>
          <w:tcPr>
            <w:tcW w:type="dxa" w:w="7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ISO/IEC 27001 certification</w:t>
            </w:r>
            <w:r>
              <w:rPr>
                <w:rFonts w:ascii="Arial" w:cs="Arial" w:eastAsia="Arial" w:hAnsi="Arial"/>
                <w:b w:val="false"/>
                <w:bCs w:val="false"/>
                <w:color w:val="1F2328"/>
                <w:sz w:val="18"/>
                <w:szCs w:val="18"/>
              </w:rPr>
              <w:t xml:space="preserve"> (ISMS built on the IG suite + information asset register); </w:t>
            </w:r>
            <w:r>
              <w:rPr>
                <w:rFonts w:ascii="Arial" w:cs="Arial" w:eastAsia="Arial" w:hAnsi="Arial"/>
                <w:b/>
                <w:bCs/>
                <w:color w:val="1F2328"/>
                <w:sz w:val="18"/>
                <w:szCs w:val="18"/>
              </w:rPr>
              <w:t xml:space="preserve">healthcare accreditation</w:t>
            </w:r>
            <w:r>
              <w:rPr>
                <w:rFonts w:ascii="Arial" w:cs="Arial" w:eastAsia="Arial" w:hAnsi="Arial"/>
                <w:b w:val="false"/>
                <w:bCs w:val="false"/>
                <w:color w:val="1F2328"/>
                <w:sz w:val="18"/>
                <w:szCs w:val="18"/>
              </w:rPr>
              <w:t xml:space="preserve"> (DDKM or successor framework) survey; whistleblower scheme statutory activation expected (≈50 staff); enterprise maturity Level 4.</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2030</w:t>
            </w:r>
          </w:p>
        </w:tc>
        <w:tc>
          <w:tcPr>
            <w:tcW w:type="dxa" w:w="7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Surveillance audits sustained without major findings; benchmarking mature; digital maturity: dashboard-driven operations, predictive rostering and risk indicators under PC-IG-005 AI governance.</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2031</w:t>
            </w:r>
          </w:p>
        </w:tc>
        <w:tc>
          <w:tcPr>
            <w:tcW w:type="dxa" w:w="7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5 characteristics: governance data drives strategy and tender pricing; Premium Care governance references used in municipal dialogue; board effectiveness externally evaluated.</w:t>
            </w:r>
          </w:p>
        </w:tc>
      </w:tr>
    </w:tbl>
    <w:p>
      <w:pPr>
        <w:spacing w:after="80"/>
      </w:pPr>
    </w:p>
    <w:p>
      <w:pPr>
        <w:spacing w:after="160" w:line="276"/>
        <w:jc w:val="both"/>
      </w:pPr>
      <w:r>
        <w:rPr>
          <w:rFonts w:ascii="Georgia" w:cs="Georgia" w:eastAsia="Georgia" w:hAnsi="Georgia"/>
          <w:color w:val="1F2328"/>
          <w:sz w:val="21"/>
          <w:szCs w:val="21"/>
        </w:rPr>
        <w:t xml:space="preserve">Sequencing rationale: ISO 9001 first because the QMS is the spine every other assessment leans on; 27001 second because its ISMS inherits the asset register, risk method and document control already certified; DDKM alongside, because its målepunkter overlap heavily with the STPS instruks tranche and clinical suite — the same evidence serves both. Municipal procurement excellence is not a certificate but a by-product: every tender answered from live registers (O5) compounds into reputation.</w:t>
      </w:r>
    </w:p>
    <w:p>
      <w:r>
        <w:br w:type="page"/>
      </w:r>
    </w:p>
    <w:p>
      <w:pPr>
        <w:pStyle w:val="Heading1"/>
        <w:pBdr>
          <w:bottom w:val="single" w:color="1E4B50" w:sz="6"/>
        </w:pBdr>
        <w:spacing w:after="200" w:before="420"/>
      </w:pPr>
      <w:r>
        <w:rPr>
          <w:rFonts w:ascii="Arial" w:cs="Arial" w:eastAsia="Arial" w:hAnsi="Arial"/>
          <w:b/>
          <w:bCs/>
          <w:color w:val="1E4B50"/>
          <w:sz w:val="30"/>
          <w:szCs w:val="30"/>
        </w:rPr>
        <w:t xml:space="preserve">PART 12   </w:t>
      </w:r>
      <w:r>
        <w:rPr>
          <w:rFonts w:ascii="Arial" w:cs="Arial" w:eastAsia="Arial" w:hAnsi="Arial"/>
          <w:b/>
          <w:bCs/>
          <w:color w:val="1F2328"/>
          <w:sz w:val="30"/>
          <w:szCs w:val="30"/>
        </w:rPr>
        <w:t xml:space="preserve">Implementation Toolkit</w:t>
      </w:r>
    </w:p>
    <w:p>
      <w:pPr>
        <w:spacing w:after="160" w:line="276"/>
        <w:jc w:val="both"/>
      </w:pPr>
      <w:r>
        <w:rPr>
          <w:rFonts w:ascii="Georgia" w:cs="Georgia" w:eastAsia="Georgia" w:hAnsi="Georgia"/>
          <w:color w:val="1F2328"/>
          <w:sz w:val="21"/>
          <w:szCs w:val="21"/>
        </w:rPr>
        <w:t xml:space="preserve">The toolkit is the set of controlled instruments that makes the programme executable at consultancy quality without consultancy cost. Each item is produced in Phase 2 as a controlled template in the OPS series, styled per Part 6. The toolkit is deliberately finite — every template must earn its place (P12).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26"/>
      </w:tblGrid>
      <w:tr>
        <w:trPr>
          <w:cantSplit/>
          <w:tblHeader/>
        </w:trPr>
        <w:tc>
          <w:tcPr>
            <w:tcW w:type="dxa" w:w="21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Instrument</w:t>
            </w:r>
          </w:p>
        </w:tc>
        <w:tc>
          <w:tcPr>
            <w:tcW w:type="dxa" w:w="3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 (OPS series)</w:t>
            </w:r>
          </w:p>
        </w:tc>
        <w:tc>
          <w:tcPr>
            <w:tcW w:type="dxa" w:w="35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Contents</w:t>
            </w:r>
          </w:p>
        </w:tc>
      </w:tr>
      <w:tr>
        <w:trPr>
          <w:cantSplit/>
        </w:trPr>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approval paper</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TPL-001</w:t>
            </w:r>
          </w:p>
        </w:tc>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Decision sheet per Part 6.4: purpose, recommendation, options, risk, resource, decision box</w:t>
            </w:r>
          </w:p>
        </w:tc>
      </w:tr>
      <w:tr>
        <w:trPr>
          <w:cantSplit/>
        </w:trPr>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Manual template</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TPL-002</w:t>
            </w:r>
          </w:p>
        </w:tc>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Full PC-GOV-000 §15.4 structure, pre-styled, with mandated-contents certification line</w:t>
            </w:r>
          </w:p>
        </w:tc>
      </w:tr>
      <w:tr>
        <w:trPr>
          <w:cantSplit/>
        </w:trPr>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Policy template</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TPL-003</w:t>
            </w:r>
          </w:p>
        </w:tc>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Compact policy structure (Part 6.4)</w:t>
            </w:r>
          </w:p>
        </w:tc>
      </w:tr>
      <w:tr>
        <w:trPr>
          <w:cantSplit/>
        </w:trPr>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SOP / instruks template</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TPL-004</w:t>
            </w:r>
          </w:p>
        </w:tc>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Action layout with responsibility column, competency prerequisite, escalation box, instruks designation line</w:t>
            </w:r>
          </w:p>
        </w:tc>
      </w:tr>
      <w:tr>
        <w:trPr>
          <w:cantSplit/>
        </w:trPr>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Form / register / checklist shells</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TPL-005–007</w:t>
            </w:r>
          </w:p>
        </w:tc>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Styled shells enforcing Part 6.4 rules</w:t>
            </w:r>
          </w:p>
        </w:tc>
      </w:tr>
      <w:tr>
        <w:trPr>
          <w:cantSplit/>
        </w:trPr>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Review &amp; reconfirmation template</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TPL-008</w:t>
            </w:r>
          </w:p>
        </w:tc>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Scheduled review record: currency check, statutory check, cross-reference check, decision</w:t>
            </w:r>
          </w:p>
        </w:tc>
      </w:tr>
      <w:tr>
        <w:trPr>
          <w:cantSplit/>
        </w:trPr>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Change request form</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FRM-001</w:t>
            </w:r>
          </w:p>
        </w:tc>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CR per §5.2 with triage record</w:t>
            </w:r>
          </w:p>
        </w:tc>
      </w:tr>
      <w:tr>
        <w:trPr>
          <w:cantSplit/>
        </w:trPr>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Consultation log</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FRM-002</w:t>
            </w:r>
          </w:p>
        </w:tc>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Comment, commenter, disposition, owner sign-off</w:t>
            </w:r>
          </w:p>
        </w:tc>
      </w:tr>
      <w:tr>
        <w:trPr>
          <w:cantSplit/>
        </w:trPr>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QA certificate</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CHK-001</w:t>
            </w:r>
          </w:p>
        </w:tc>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PMO conformity check: template, metadata, §8.4 contents, references</w:t>
            </w:r>
          </w:p>
        </w:tc>
      </w:tr>
      <w:tr>
        <w:trPr>
          <w:cantSplit/>
        </w:trPr>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Go-live checklist (per document)</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CHK-002</w:t>
            </w:r>
          </w:p>
        </w:tc>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Approval record, publication, notification, acknowledgement flow, register update, superseded-version archive</w:t>
            </w:r>
          </w:p>
        </w:tc>
      </w:tr>
      <w:tr>
        <w:trPr>
          <w:cantSplit/>
        </w:trPr>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Internal audit checklist set</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CHK-003+</w:t>
            </w:r>
          </w:p>
        </w:tc>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One per audit in §10.2, question-level, mapped to standards</w:t>
            </w:r>
          </w:p>
        </w:tc>
      </w:tr>
      <w:tr>
        <w:trPr>
          <w:cantSplit/>
        </w:trPr>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Annual review checklist</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CHK-010</w:t>
            </w:r>
          </w:p>
        </w:tc>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Library-wide year-end verification feeding the Annual Statement</w:t>
            </w:r>
          </w:p>
        </w:tc>
      </w:tr>
      <w:tr>
        <w:trPr>
          <w:cantSplit/>
        </w:trPr>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Training plan template</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TPL-009</w:t>
            </w:r>
          </w:p>
        </w:tc>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Role × module × frequency, generated against PC-HR-013</w:t>
            </w:r>
          </w:p>
        </w:tc>
      </w:tr>
      <w:tr>
        <w:trPr>
          <w:cantSplit/>
        </w:trPr>
        <w:tc>
          <w:tcPr>
            <w:tcW w:type="dxa" w:w="2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Communications plan</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TPL-010</w:t>
            </w:r>
          </w:p>
        </w:tc>
        <w:tc>
          <w:tcPr>
            <w:tcW w:type="dxa" w:w="3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Per-phase staff communications: what changes, who is affected, what to acknowledge</w:t>
            </w:r>
          </w:p>
        </w:tc>
      </w:tr>
    </w:tbl>
    <w:p>
      <w:pPr>
        <w:spacing w:after="80"/>
      </w:pPr>
    </w:p>
    <w:p>
      <w:pPr>
        <w:spacing w:after="160" w:line="276"/>
        <w:jc w:val="both"/>
      </w:pPr>
      <w:r>
        <w:rPr>
          <w:rFonts w:ascii="Georgia" w:cs="Georgia" w:eastAsia="Georgia" w:hAnsi="Georgia"/>
          <w:color w:val="1F2328"/>
          <w:sz w:val="21"/>
          <w:szCs w:val="21"/>
        </w:rPr>
        <w:t xml:space="preserve">Project plans are maintained as live artefacts in the platform (Planner/Project) against the §3 schedule — the plan is a view of the register, not a document to fall out of date (P2).</w:t>
      </w:r>
    </w:p>
    <w:p>
      <w:r>
        <w:br w:type="page"/>
      </w:r>
    </w:p>
    <w:p>
      <w:pPr>
        <w:pStyle w:val="Heading1"/>
        <w:pBdr>
          <w:bottom w:val="single" w:color="1E4B50" w:sz="6"/>
        </w:pBdr>
        <w:spacing w:after="200" w:before="420"/>
      </w:pPr>
      <w:r>
        <w:rPr>
          <w:rFonts w:ascii="Arial" w:cs="Arial" w:eastAsia="Arial" w:hAnsi="Arial"/>
          <w:b/>
          <w:bCs/>
          <w:color w:val="1E4B50"/>
          <w:sz w:val="30"/>
          <w:szCs w:val="30"/>
        </w:rPr>
        <w:t xml:space="preserve">13   </w:t>
      </w:r>
      <w:r>
        <w:rPr>
          <w:rFonts w:ascii="Arial" w:cs="Arial" w:eastAsia="Arial" w:hAnsi="Arial"/>
          <w:b/>
          <w:bCs/>
          <w:color w:val="1F2328"/>
          <w:sz w:val="30"/>
          <w:szCs w:val="30"/>
        </w:rPr>
        <w:t xml:space="preserve">Governance Maturity Assessment (baseline)</w:t>
      </w:r>
    </w:p>
    <w:p>
      <w:pPr>
        <w:spacing w:after="160" w:line="276"/>
        <w:jc w:val="both"/>
      </w:pPr>
      <w:r>
        <w:rPr>
          <w:rFonts w:ascii="Georgia" w:cs="Georgia" w:eastAsia="Georgia" w:hAnsi="Georgia"/>
          <w:color w:val="1F2328"/>
          <w:sz w:val="21"/>
          <w:szCs w:val="21"/>
        </w:rPr>
        <w:t xml:space="preserve">Recorded at issue so year-one progress is measured against an honest zero, per §1.5: </w:t>
      </w:r>
      <w:r>
        <w:rPr>
          <w:rFonts w:ascii="Georgia" w:cs="Georgia" w:eastAsia="Georgia" w:hAnsi="Georgia"/>
          <w:b/>
          <w:bCs/>
          <w:color w:val="1F2328"/>
          <w:sz w:val="21"/>
          <w:szCs w:val="21"/>
        </w:rPr>
        <w:t xml:space="preserve">architecture and design, Level 2 achieved</w:t>
      </w:r>
      <w:r>
        <w:rPr>
          <w:rFonts w:ascii="Georgia" w:cs="Georgia" w:eastAsia="Georgia" w:hAnsi="Georgia"/>
          <w:color w:val="1F2328"/>
          <w:sz w:val="21"/>
          <w:szCs w:val="21"/>
        </w:rPr>
        <w:t xml:space="preserve"> (approved specification, audited, PCOS in place); </w:t>
      </w:r>
      <w:r>
        <w:rPr>
          <w:rFonts w:ascii="Georgia" w:cs="Georgia" w:eastAsia="Georgia" w:hAnsi="Georgia"/>
          <w:b/>
          <w:bCs/>
          <w:color w:val="1F2328"/>
          <w:sz w:val="21"/>
          <w:szCs w:val="21"/>
        </w:rPr>
        <w:t xml:space="preserve">all operating domains, Level 1</w:t>
      </w:r>
      <w:r>
        <w:rPr>
          <w:rFonts w:ascii="Georgia" w:cs="Georgia" w:eastAsia="Georgia" w:hAnsi="Georgia"/>
          <w:color w:val="1F2328"/>
          <w:sz w:val="21"/>
          <w:szCs w:val="21"/>
        </w:rPr>
        <w:t xml:space="preserve"> (no documents yet in force, no registers populated, no audits performed). Targets: Level 3 all domains by end-2027; Level 4 quality and IG by end-2028; Level 4 enterprise by end-2029; Level 5 characteristics from 2030. The assessment is repeated at each gate and annually thereafter, scored by the PMO and challenged at Management Review; from 2028 the scoring is externally validated as part of certification cycles.</w:t>
      </w:r>
    </w:p>
    <w:p>
      <w:pPr>
        <w:pStyle w:val="Heading1"/>
        <w:pBdr>
          <w:bottom w:val="single" w:color="1E4B50" w:sz="6"/>
        </w:pBdr>
        <w:spacing w:after="200" w:before="420"/>
      </w:pPr>
      <w:r>
        <w:rPr>
          <w:rFonts w:ascii="Arial" w:cs="Arial" w:eastAsia="Arial" w:hAnsi="Arial"/>
          <w:b/>
          <w:bCs/>
          <w:color w:val="1E4B50"/>
          <w:sz w:val="30"/>
          <w:szCs w:val="30"/>
        </w:rPr>
        <w:t xml:space="preserve">14   </w:t>
      </w:r>
      <w:r>
        <w:rPr>
          <w:rFonts w:ascii="Arial" w:cs="Arial" w:eastAsia="Arial" w:hAnsi="Arial"/>
          <w:b/>
          <w:bCs/>
          <w:color w:val="1F2328"/>
          <w:sz w:val="30"/>
          <w:szCs w:val="30"/>
        </w:rPr>
        <w:t xml:space="preserve">Final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Ref</w:t>
            </w:r>
          </w:p>
        </w:tc>
        <w:tc>
          <w:tcPr>
            <w:tcW w:type="dxa" w:w="81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Recommendation</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R1</w:t>
            </w:r>
          </w:p>
        </w:tc>
        <w:tc>
          <w:tcPr>
            <w:tcW w:type="dxa" w:w="8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Issue PC-GOV-000 v1.2 at its next revision to adopt the nineteen Part 4 register additions and the FIN/DIG/FAC/ENV domain codes, keeping the constitution and the operating system in lock-step.</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R2</w:t>
            </w:r>
          </w:p>
        </w:tc>
        <w:tc>
          <w:tcPr>
            <w:tcW w:type="dxa" w:w="8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Approve PCOS at gate G1 with Parts 2, 3 and 5 as immediately binding; treat Parts 8–11 as binding at the milestones that activate them.</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R3</w:t>
            </w:r>
          </w:p>
        </w:tc>
        <w:tc>
          <w:tcPr>
            <w:tcW w:type="dxa" w:w="8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Ring-fence Head of Clinical Services capacity for Phase 4 and the instruks tranche; it is the critical path to lawful care delivery (IR-1/IR-2).</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R4</w:t>
            </w:r>
          </w:p>
        </w:tc>
        <w:tc>
          <w:tcPr>
            <w:tcW w:type="dxa" w:w="8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Build the M365 platform (Part 7) before Phase 3 drafting begins; retro-loading documents into a platform is the classic failure mode of governance programmes.</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R5</w:t>
            </w:r>
          </w:p>
        </w:tc>
        <w:tc>
          <w:tcPr>
            <w:tcW w:type="dxa" w:w="8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Stand up all twelve registers within 90 days (O2) even where parent manuals are not yet drafted; registers generate assurance value immediately.</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R6</w:t>
            </w:r>
          </w:p>
        </w:tc>
        <w:tc>
          <w:tcPr>
            <w:tcW w:type="dxa" w:w="8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Source year-one internal audit externally to preserve third-line independence at founding scale (§9.1), transitioning in-house as headcount allows.</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R7</w:t>
            </w:r>
          </w:p>
        </w:tc>
        <w:tc>
          <w:tcPr>
            <w:tcW w:type="dxa" w:w="8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Time STPS treatment-site registration to gate G3 so inspection readiness and care commencement coincide by design (PC-GOV-015).</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R8</w:t>
            </w:r>
          </w:p>
        </w:tc>
        <w:tc>
          <w:tcPr>
            <w:tcW w:type="dxa" w:w="8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Present the first Annual Governance &amp; Assurance Statement to the Board no later than Q1 2028 and publish an extract in municipal tender libraries thereafter — governance as commercial asset.</w:t>
            </w:r>
          </w:p>
        </w:tc>
      </w:tr>
    </w:tbl>
    <w:p>
      <w:pPr>
        <w:spacing w:after="200"/>
      </w:pPr>
    </w:p>
    <w:p>
      <w:pPr>
        <w:pStyle w:val="Heading1"/>
        <w:pBdr>
          <w:bottom w:val="single" w:color="1E4B50" w:sz="6"/>
        </w:pBdr>
        <w:spacing w:after="200" w:before="420"/>
      </w:pPr>
      <w:r>
        <w:rPr>
          <w:rFonts w:ascii="Arial" w:cs="Arial" w:eastAsia="Arial" w:hAnsi="Arial"/>
          <w:b/>
          <w:bCs/>
          <w:color w:val="1E4B50"/>
          <w:sz w:val="30"/>
          <w:szCs w:val="30"/>
        </w:rPr>
        <w:t xml:space="preserve">A   </w:t>
      </w:r>
      <w:r>
        <w:rPr>
          <w:rFonts w:ascii="Arial" w:cs="Arial" w:eastAsia="Arial" w:hAnsi="Arial"/>
          <w:b/>
          <w:bCs/>
          <w:color w:val="1F2328"/>
          <w:sz w:val="30"/>
          <w:szCs w:val="30"/>
        </w:rPr>
        <w:t xml:space="preserve">Annex A — Board Approval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Paper</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Approval of PC-GOV-100 Premium Care Operating System (Gate G1)</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Classification</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FOR DECISION</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Purpose</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To charter the Governance Programme and adopt PCOS as the master operating manual of the governance ecosystem, pursuant to PC-GOV-000 v1.1.</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Recommendation</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That the Board (i) approves PC-GOV-100 at v1.0; (ii) charters the programme per Part 2 with the Managing Director as Sponsor; (iii) adopts the production schedule (Annex B) and gates G1–G5; (iv) notes the nineteen proposed register additions for adoption at PC-GOV-000 v1.2 (R1); (v) sets first review of risk appetite (§9.2) within twelve months.</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Options considered</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Approve as presented; (b) approve with amendments recorded in the minute; (c) defer — noting that Phases 2–8 cannot lawfully proceed under PC-GOV-000 §17.2 until chartered.</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of approval</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Programme risks per §3.5, mitigated as stated; principal residual risk is key-person bandwidth (IR-1).</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of deferral</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Care-readiness (G3) and first-tender evidence (O5) slip month-for-month; statutory instruments (instrukser, registers) remain unbuilt.</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Resource</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230 focused days over ten months within existing roles, plus permitted external drafting support (§3.4) and M365 licensing already held.</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Decision</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Approved / Approved with amendments / Deferred — Chair signature and date.</w:t>
            </w:r>
          </w:p>
        </w:tc>
      </w:tr>
    </w:tbl>
    <w:p>
      <w:pPr>
        <w:spacing w:after="200"/>
      </w:pPr>
    </w:p>
    <w:p>
      <w:pPr>
        <w:pStyle w:val="Heading1"/>
        <w:pBdr>
          <w:bottom w:val="single" w:color="1E4B50" w:sz="6"/>
        </w:pBdr>
        <w:spacing w:after="200" w:before="420"/>
      </w:pPr>
      <w:r>
        <w:rPr>
          <w:rFonts w:ascii="Arial" w:cs="Arial" w:eastAsia="Arial" w:hAnsi="Arial"/>
          <w:b/>
          <w:bCs/>
          <w:color w:val="1E4B50"/>
          <w:sz w:val="30"/>
          <w:szCs w:val="30"/>
        </w:rPr>
        <w:t xml:space="preserve">B   </w:t>
      </w:r>
      <w:r>
        <w:rPr>
          <w:rFonts w:ascii="Arial" w:cs="Arial" w:eastAsia="Arial" w:hAnsi="Arial"/>
          <w:b/>
          <w:bCs/>
          <w:color w:val="1F2328"/>
          <w:sz w:val="30"/>
          <w:szCs w:val="30"/>
        </w:rPr>
        <w:t xml:space="preserve">Annex B — Production Schedule (summary)</w:t>
      </w:r>
    </w:p>
    <w:p>
      <w:pPr>
        <w:spacing w:after="160" w:line="276"/>
        <w:jc w:val="both"/>
      </w:pPr>
      <w:r>
        <w:rPr>
          <w:rFonts w:ascii="Georgia" w:cs="Georgia" w:eastAsia="Georgia" w:hAnsi="Georgia"/>
          <w:color w:val="1F2328"/>
          <w:sz w:val="21"/>
          <w:szCs w:val="21"/>
        </w:rPr>
        <w:t xml:space="preserve">The binding schedule is the live PMO plan (Part 12); this summary fixes the baseline: </w:t>
      </w:r>
      <w:r>
        <w:rPr>
          <w:rFonts w:ascii="Georgia" w:cs="Georgia" w:eastAsia="Georgia" w:hAnsi="Georgia"/>
          <w:b/>
          <w:bCs/>
          <w:color w:val="1F2328"/>
          <w:sz w:val="21"/>
          <w:szCs w:val="21"/>
        </w:rPr>
        <w:t xml:space="preserve">Q3 2026</w:t>
      </w:r>
      <w:r>
        <w:rPr>
          <w:rFonts w:ascii="Georgia" w:cs="Georgia" w:eastAsia="Georgia" w:hAnsi="Georgia"/>
          <w:color w:val="1F2328"/>
          <w:sz w:val="21"/>
          <w:szCs w:val="21"/>
        </w:rPr>
        <w:t xml:space="preserve"> — Phase 2 + platform + registers (G2); </w:t>
      </w:r>
      <w:r>
        <w:rPr>
          <w:rFonts w:ascii="Georgia" w:cs="Georgia" w:eastAsia="Georgia" w:hAnsi="Georgia"/>
          <w:b/>
          <w:bCs/>
          <w:color w:val="1F2328"/>
          <w:sz w:val="21"/>
          <w:szCs w:val="21"/>
        </w:rPr>
        <w:t xml:space="preserve">Q4 2026</w:t>
      </w:r>
      <w:r>
        <w:rPr>
          <w:rFonts w:ascii="Georgia" w:cs="Georgia" w:eastAsia="Georgia" w:hAnsi="Georgia"/>
          <w:color w:val="1F2328"/>
          <w:sz w:val="21"/>
          <w:szCs w:val="21"/>
        </w:rPr>
        <w:t xml:space="preserve"> — Phases 3–4, Handbook regenerated (M4), clinical readiness (G3/M5); </w:t>
      </w:r>
      <w:r>
        <w:rPr>
          <w:rFonts w:ascii="Georgia" w:cs="Georgia" w:eastAsia="Georgia" w:hAnsi="Georgia"/>
          <w:b/>
          <w:bCs/>
          <w:color w:val="1F2328"/>
          <w:sz w:val="21"/>
          <w:szCs w:val="21"/>
        </w:rPr>
        <w:t xml:space="preserve">Q1 2027</w:t>
      </w:r>
      <w:r>
        <w:rPr>
          <w:rFonts w:ascii="Georgia" w:cs="Georgia" w:eastAsia="Georgia" w:hAnsi="Georgia"/>
          <w:color w:val="1F2328"/>
          <w:sz w:val="21"/>
          <w:szCs w:val="21"/>
        </w:rPr>
        <w:t xml:space="preserve"> — Phases 5–7 (M6); </w:t>
      </w:r>
      <w:r>
        <w:rPr>
          <w:rFonts w:ascii="Georgia" w:cs="Georgia" w:eastAsia="Georgia" w:hAnsi="Georgia"/>
          <w:b/>
          <w:bCs/>
          <w:color w:val="1F2328"/>
          <w:sz w:val="21"/>
          <w:szCs w:val="21"/>
        </w:rPr>
        <w:t xml:space="preserve">Q2 2027</w:t>
      </w:r>
      <w:r>
        <w:rPr>
          <w:rFonts w:ascii="Georgia" w:cs="Georgia" w:eastAsia="Georgia" w:hAnsi="Georgia"/>
          <w:color w:val="1F2328"/>
          <w:sz w:val="21"/>
          <w:szCs w:val="21"/>
        </w:rPr>
        <w:t xml:space="preserve"> — Phase 8, full library (G4/M7); </w:t>
      </w:r>
      <w:r>
        <w:rPr>
          <w:rFonts w:ascii="Georgia" w:cs="Georgia" w:eastAsia="Georgia" w:hAnsi="Georgia"/>
          <w:b/>
          <w:bCs/>
          <w:color w:val="1F2328"/>
          <w:sz w:val="21"/>
          <w:szCs w:val="21"/>
        </w:rPr>
        <w:t xml:space="preserve">Q3 2027–Q1 2028</w:t>
      </w:r>
      <w:r>
        <w:rPr>
          <w:rFonts w:ascii="Georgia" w:cs="Georgia" w:eastAsia="Georgia" w:hAnsi="Georgia"/>
          <w:color w:val="1F2328"/>
          <w:sz w:val="21"/>
          <w:szCs w:val="21"/>
        </w:rPr>
        <w:t xml:space="preserve"> — first audit cycle, Management Review, Annual Statement (G5/M8–M9). Re-baselining requires Programme Board approval per §2.3.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4B50" w:sz="18"/>
              <w:bottom w:val="none" w:color="FFFFFF" w:sz="0"/>
              <w:right w:val="none" w:color="FFFFFF" w:sz="0"/>
            </w:tcBorders>
            <w:shd w:fill="F4F5F4" w:color="auto" w:val="clear"/>
            <w:tcMar>
              <w:top w:type="dxa" w:w="160"/>
              <w:left w:type="dxa" w:w="200"/>
              <w:bottom w:type="dxa" w:w="160"/>
              <w:right w:type="dxa" w:w="200"/>
            </w:tcMar>
          </w:tcPr>
          <w:p>
            <w:pPr>
              <w:spacing w:after="0" w:line="264"/>
            </w:pPr>
            <w:r>
              <w:rPr>
                <w:rFonts w:ascii="Georgia" w:cs="Georgia" w:eastAsia="Georgia" w:hAnsi="Georgia"/>
                <w:b/>
                <w:bCs/>
                <w:color w:val="1F2328"/>
                <w:sz w:val="20"/>
                <w:szCs w:val="20"/>
              </w:rPr>
              <w:t xml:space="preserve">Status on issue.</w:t>
            </w:r>
            <w:r>
              <w:rPr>
                <w:rFonts w:ascii="Georgia" w:cs="Georgia" w:eastAsia="Georgia" w:hAnsi="Georgia"/>
                <w:color w:val="1F2328"/>
                <w:sz w:val="20"/>
                <w:szCs w:val="20"/>
              </w:rPr>
              <w:t xml:space="preserve"> PC-GOV-100 v1.0 is presented for Board approval at gate G1. It operates under, and never above, PC-GOV-000 v1.1. On approval, the Governance Programme is chartered and Phase 2 commences.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1" w:sz="4"/>
      </w:pBdr>
      <w:tabs>
        <w:tab w:val="right" w:pos="9026"/>
      </w:tabs>
      <w:spacing w:before="60"/>
    </w:pPr>
    <w:r>
      <w:rPr>
        <w:rFonts w:ascii="Arial" w:cs="Arial" w:eastAsia="Arial" w:hAnsi="Arial"/>
        <w:color w:val="44515C"/>
        <w:sz w:val="14"/>
        <w:szCs w:val="14"/>
      </w:rPr>
      <w:t xml:space="preserve">PC-GOV-100 · Premium Care Operating System · v1.0 · Controlled Document</w:t>
    </w:r>
    <w:r>
      <w:rPr>
        <w:rFonts w:ascii="Arial" w:cs="Arial" w:eastAsia="Arial" w:hAnsi="Arial"/>
        <w:sz w:val="14"/>
        <w:szCs w:val="14"/>
      </w:rPr>
      <w:t xml:space="preserve">	</w:t>
    </w:r>
    <w:r>
      <w:rPr>
        <w:rFonts w:ascii="Arial" w:cs="Arial" w:eastAsia="Arial" w:hAnsi="Arial"/>
        <w:color w:val="44515C"/>
        <w:sz w:val="14"/>
        <w:szCs w:val="14"/>
      </w:rPr>
      <w:t xml:space="preserve">Page </w:t>
    </w:r>
    <w:r>
      <w:rPr>
        <w:rFonts w:ascii="Arial" w:cs="Arial" w:eastAsia="Arial" w:hAnsi="Arial"/>
        <w:b/>
        <w:bCs/>
        <w:color w:val="1E4B50"/>
        <w:sz w:val="14"/>
        <w:szCs w:val="14"/>
      </w:rPr>
      <w:fldChar w:fldCharType="begin"/>
      <w:instrText xml:space="preserve">PAGE</w:instrText>
      <w:fldChar w:fldCharType="separate"/>
      <w:fldChar w:fldCharType="end"/>
    </w:r>
    <w:r>
      <w:rPr>
        <w:rFonts w:ascii="Arial" w:cs="Arial" w:eastAsia="Arial" w:hAnsi="Arial"/>
        <w:color w:val="44515C"/>
        <w:sz w:val="14"/>
        <w:szCs w:val="14"/>
      </w:rPr>
      <w:t xml:space="preserve"> of </w:t>
    </w:r>
    <w:r>
      <w:rPr>
        <w:rFonts w:ascii="Arial" w:cs="Arial" w:eastAsia="Arial" w:hAnsi="Arial"/>
        <w:color w:val="44515C"/>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b/>
        <w:bCs/>
        <w:color w:val="1E4B50"/>
      </w:r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Premium Care Operating System (PC-GOV-100)</dc:title>
  <dc:creator>Premium Care ApS</dc:creator>
  <cp:lastModifiedBy>Un-named</cp:lastModifiedBy>
  <cp:revision>1</cp:revision>
  <dcterms:created xsi:type="dcterms:W3CDTF">2026-07-06T19:00:28.137Z</dcterms:created>
  <dcterms:modified xsi:type="dcterms:W3CDTF">2026-07-06T19:00:28.152Z</dcterms:modified>
</cp:coreProperties>
</file>

<file path=docProps/custom.xml><?xml version="1.0" encoding="utf-8"?>
<Properties xmlns="http://schemas.openxmlformats.org/officeDocument/2006/custom-properties" xmlns:vt="http://schemas.openxmlformats.org/officeDocument/2006/docPropsVTypes"/>
</file>