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spacing w:after="60"/>
        <w:jc w:val="center"/>
      </w:pPr>
      <w:r>
        <w:drawing>
          <wp:inline distT="0" distB="0" distL="0" distR="0">
            <wp:extent cx="2000250" cy="2000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200"/>
        <w:jc w:val="center"/>
      </w:pPr>
      <w:r>
        <w:rPr>
          <w:rFonts w:ascii="Libre Baskerville" w:cs="Libre Baskerville" w:eastAsia="Libre Baskerville" w:hAnsi="Libre Baskerville"/>
          <w:b/>
          <w:bCs/>
          <w:color w:val="0E3B2E"/>
          <w:spacing w:val="40"/>
          <w:sz w:val="52"/>
          <w:szCs w:val="52"/>
        </w:rPr>
        <w:t xml:space="preserve">SUNNAH REMEDIES</w:t>
      </w:r>
    </w:p>
    <w:p>
      <w:pPr>
        <w:spacing w:after="500"/>
        <w:jc w:val="center"/>
      </w:pPr>
      <w:r>
        <w:rPr>
          <w:rFonts w:ascii="Inter" w:cs="Inter" w:eastAsia="Inter" w:hAnsi="Inter"/>
          <w:color w:val="6B6B62"/>
          <w:spacing w:val="120"/>
          <w:sz w:val="18"/>
          <w:szCs w:val="18"/>
        </w:rPr>
        <w:t xml:space="preserve">INSTITUTE OF PROPHETIC MEDICINE</w:t>
      </w:r>
    </w:p>
    <w:p>
      <w:pPr>
        <w:jc w:val="center"/>
      </w:pPr>
      <w:r>
        <w:rPr>
          <w:rFonts w:ascii="Libre Baskerville" w:cs="Libre Baskerville" w:eastAsia="Libre Baskerville" w:hAnsi="Libre Baskerville"/>
          <w:i/>
          <w:iCs/>
          <w:color w:val="C7A25A"/>
          <w:sz w:val="30"/>
          <w:szCs w:val="30"/>
        </w:rPr>
        <w:t xml:space="preserve">Brand &amp; Logo Guidelines</w:t>
      </w:r>
    </w:p>
    <w:p>
      <w:pPr>
        <w:spacing w:before="80"/>
        <w:jc w:val="center"/>
      </w:pPr>
      <w:r>
        <w:rPr>
          <w:rFonts w:ascii="Inter" w:cs="Inter" w:eastAsia="Inter" w:hAnsi="Inter"/>
          <w:color w:val="6B6B62"/>
          <w:sz w:val="16"/>
          <w:szCs w:val="16"/>
        </w:rPr>
        <w:t xml:space="preserve">Version 1.0  ·  Logo System, Colour &amp; Typography</w:t>
      </w:r>
    </w:p>
    <w:p>
      <w:r>
        <w:br w:type="page"/>
      </w:r>
    </w:p>
    <w:p>
      <w:pPr>
        <w:spacing w:after="40"/>
      </w:pPr>
      <w:r>
        <w:rPr>
          <w:rFonts w:ascii="Inter" w:cs="Inter" w:eastAsia="Inter" w:hAnsi="Inter"/>
          <w:b/>
          <w:bCs/>
          <w:color w:val="C7A25A"/>
          <w:spacing w:val="60"/>
          <w:sz w:val="16"/>
          <w:szCs w:val="16"/>
        </w:rPr>
        <w:t xml:space="preserve">GUIDELINES</w:t>
      </w:r>
    </w:p>
    <w:p>
      <w:pPr>
        <w:pStyle w:val="Heading1"/>
        <w:spacing w:after="160" w:before="120"/>
      </w:pPr>
      <w:r>
        <w:rPr>
          <w:rFonts w:ascii="Libre Baskerville" w:cs="Libre Baskerville" w:eastAsia="Libre Baskerville" w:hAnsi="Libre Baskerville"/>
          <w:b/>
          <w:bCs/>
          <w:color w:val="0E3B2E"/>
          <w:sz w:val="40"/>
          <w:szCs w:val="40"/>
        </w:rPr>
        <w:t xml:space="preserve">Contents</w:t>
      </w:r>
    </w:p>
    <w:p>
      <w:pPr>
        <w:tabs>
          <w:tab w:val="left" w:pos="900"/>
          <w:tab w:val="left" w:pos="4200"/>
        </w:tabs>
        <w:spacing w:after="130"/>
      </w:pPr>
      <w:r>
        <w:rPr>
          <w:rFonts w:ascii="Inter" w:cs="Inter" w:eastAsia="Inter" w:hAnsi="Inter"/>
          <w:b/>
          <w:bCs/>
          <w:color w:val="C7A25A"/>
          <w:sz w:val="20"/>
          <w:szCs w:val="20"/>
        </w:rPr>
        <w:t xml:space="preserve">01</w:t>
      </w:r>
      <w:r>
        <w:rPr>
          <w:rFonts w:ascii="Libre Baskerville" w:cs="Libre Baskerville" w:eastAsia="Libre Baskerville" w:hAnsi="Libre Baskerville"/>
          <w:b/>
          <w:bCs/>
          <w:color w:val="0E3B2E"/>
          <w:sz w:val="22"/>
          <w:szCs w:val="22"/>
        </w:rPr>
        <w:t xml:space="preserve">	The Brand</w:t>
      </w:r>
      <w:r>
        <w:rPr>
          <w:rFonts w:ascii="Inter" w:cs="Inter" w:eastAsia="Inter" w:hAnsi="Inter"/>
          <w:color w:val="6B6B62"/>
          <w:sz w:val="18"/>
          <w:szCs w:val="18"/>
        </w:rPr>
        <w:t xml:space="preserve">	Positioning and register</w:t>
      </w:r>
    </w:p>
    <w:p>
      <w:pPr>
        <w:tabs>
          <w:tab w:val="left" w:pos="900"/>
          <w:tab w:val="left" w:pos="4200"/>
        </w:tabs>
        <w:spacing w:after="130"/>
      </w:pPr>
      <w:r>
        <w:rPr>
          <w:rFonts w:ascii="Inter" w:cs="Inter" w:eastAsia="Inter" w:hAnsi="Inter"/>
          <w:b/>
          <w:bCs/>
          <w:color w:val="C7A25A"/>
          <w:sz w:val="20"/>
          <w:szCs w:val="20"/>
        </w:rPr>
        <w:t xml:space="preserve">02</w:t>
      </w:r>
      <w:r>
        <w:rPr>
          <w:rFonts w:ascii="Libre Baskerville" w:cs="Libre Baskerville" w:eastAsia="Libre Baskerville" w:hAnsi="Libre Baskerville"/>
          <w:b/>
          <w:bCs/>
          <w:color w:val="0E3B2E"/>
          <w:sz w:val="22"/>
          <w:szCs w:val="22"/>
        </w:rPr>
        <w:t xml:space="preserve">	The Mark</w:t>
      </w:r>
      <w:r>
        <w:rPr>
          <w:rFonts w:ascii="Inter" w:cs="Inter" w:eastAsia="Inter" w:hAnsi="Inter"/>
          <w:color w:val="6B6B62"/>
          <w:sz w:val="18"/>
          <w:szCs w:val="18"/>
        </w:rPr>
        <w:t xml:space="preserve">	Meaning and symbolism</w:t>
      </w:r>
    </w:p>
    <w:p>
      <w:pPr>
        <w:tabs>
          <w:tab w:val="left" w:pos="900"/>
          <w:tab w:val="left" w:pos="4200"/>
        </w:tabs>
        <w:spacing w:after="130"/>
      </w:pPr>
      <w:r>
        <w:rPr>
          <w:rFonts w:ascii="Inter" w:cs="Inter" w:eastAsia="Inter" w:hAnsi="Inter"/>
          <w:b/>
          <w:bCs/>
          <w:color w:val="C7A25A"/>
          <w:sz w:val="20"/>
          <w:szCs w:val="20"/>
        </w:rPr>
        <w:t xml:space="preserve">03</w:t>
      </w:r>
      <w:r>
        <w:rPr>
          <w:rFonts w:ascii="Libre Baskerville" w:cs="Libre Baskerville" w:eastAsia="Libre Baskerville" w:hAnsi="Libre Baskerville"/>
          <w:b/>
          <w:bCs/>
          <w:color w:val="0E3B2E"/>
          <w:sz w:val="22"/>
          <w:szCs w:val="22"/>
        </w:rPr>
        <w:t xml:space="preserve">	Primary Logo</w:t>
      </w:r>
      <w:r>
        <w:rPr>
          <w:rFonts w:ascii="Inter" w:cs="Inter" w:eastAsia="Inter" w:hAnsi="Inter"/>
          <w:color w:val="6B6B62"/>
          <w:sz w:val="18"/>
          <w:szCs w:val="18"/>
        </w:rPr>
        <w:t xml:space="preserve">	The core asset</w:t>
      </w:r>
    </w:p>
    <w:p>
      <w:pPr>
        <w:tabs>
          <w:tab w:val="left" w:pos="900"/>
          <w:tab w:val="left" w:pos="4200"/>
        </w:tabs>
        <w:spacing w:after="130"/>
      </w:pPr>
      <w:r>
        <w:rPr>
          <w:rFonts w:ascii="Inter" w:cs="Inter" w:eastAsia="Inter" w:hAnsi="Inter"/>
          <w:b/>
          <w:bCs/>
          <w:color w:val="C7A25A"/>
          <w:sz w:val="20"/>
          <w:szCs w:val="20"/>
        </w:rPr>
        <w:t xml:space="preserve">04</w:t>
      </w:r>
      <w:r>
        <w:rPr>
          <w:rFonts w:ascii="Libre Baskerville" w:cs="Libre Baskerville" w:eastAsia="Libre Baskerville" w:hAnsi="Libre Baskerville"/>
          <w:b/>
          <w:bCs/>
          <w:color w:val="0E3B2E"/>
          <w:sz w:val="22"/>
          <w:szCs w:val="22"/>
        </w:rPr>
        <w:t xml:space="preserve">	Construction &amp; Clear Space</w:t>
      </w:r>
      <w:r>
        <w:rPr>
          <w:rFonts w:ascii="Inter" w:cs="Inter" w:eastAsia="Inter" w:hAnsi="Inter"/>
          <w:color w:val="6B6B62"/>
          <w:sz w:val="18"/>
          <w:szCs w:val="18"/>
        </w:rPr>
        <w:t xml:space="preserve">	Geometry and breathing room</w:t>
      </w:r>
    </w:p>
    <w:p>
      <w:pPr>
        <w:tabs>
          <w:tab w:val="left" w:pos="900"/>
          <w:tab w:val="left" w:pos="4200"/>
        </w:tabs>
        <w:spacing w:after="130"/>
      </w:pPr>
      <w:r>
        <w:rPr>
          <w:rFonts w:ascii="Inter" w:cs="Inter" w:eastAsia="Inter" w:hAnsi="Inter"/>
          <w:b/>
          <w:bCs/>
          <w:color w:val="C7A25A"/>
          <w:sz w:val="20"/>
          <w:szCs w:val="20"/>
        </w:rPr>
        <w:t xml:space="preserve">05</w:t>
      </w:r>
      <w:r>
        <w:rPr>
          <w:rFonts w:ascii="Libre Baskerville" w:cs="Libre Baskerville" w:eastAsia="Libre Baskerville" w:hAnsi="Libre Baskerville"/>
          <w:b/>
          <w:bCs/>
          <w:color w:val="0E3B2E"/>
          <w:sz w:val="22"/>
          <w:szCs w:val="22"/>
        </w:rPr>
        <w:t xml:space="preserve">	Minimum Sizes</w:t>
      </w:r>
      <w:r>
        <w:rPr>
          <w:rFonts w:ascii="Inter" w:cs="Inter" w:eastAsia="Inter" w:hAnsi="Inter"/>
          <w:color w:val="6B6B62"/>
          <w:sz w:val="18"/>
          <w:szCs w:val="18"/>
        </w:rPr>
        <w:t xml:space="preserve">	Legibility floor</w:t>
      </w:r>
    </w:p>
    <w:p>
      <w:pPr>
        <w:tabs>
          <w:tab w:val="left" w:pos="900"/>
          <w:tab w:val="left" w:pos="4200"/>
        </w:tabs>
        <w:spacing w:after="130"/>
      </w:pPr>
      <w:r>
        <w:rPr>
          <w:rFonts w:ascii="Inter" w:cs="Inter" w:eastAsia="Inter" w:hAnsi="Inter"/>
          <w:b/>
          <w:bCs/>
          <w:color w:val="C7A25A"/>
          <w:sz w:val="20"/>
          <w:szCs w:val="20"/>
        </w:rPr>
        <w:t xml:space="preserve">06</w:t>
      </w:r>
      <w:r>
        <w:rPr>
          <w:rFonts w:ascii="Libre Baskerville" w:cs="Libre Baskerville" w:eastAsia="Libre Baskerville" w:hAnsi="Libre Baskerville"/>
          <w:b/>
          <w:bCs/>
          <w:color w:val="0E3B2E"/>
          <w:sz w:val="22"/>
          <w:szCs w:val="22"/>
        </w:rPr>
        <w:t xml:space="preserve">	The Logo Suite</w:t>
      </w:r>
      <w:r>
        <w:rPr>
          <w:rFonts w:ascii="Inter" w:cs="Inter" w:eastAsia="Inter" w:hAnsi="Inter"/>
          <w:color w:val="6B6B62"/>
          <w:sz w:val="18"/>
          <w:szCs w:val="18"/>
        </w:rPr>
        <w:t xml:space="preserve">	Icon variations</w:t>
      </w:r>
    </w:p>
    <w:p>
      <w:pPr>
        <w:tabs>
          <w:tab w:val="left" w:pos="900"/>
          <w:tab w:val="left" w:pos="4200"/>
        </w:tabs>
        <w:spacing w:after="130"/>
      </w:pPr>
      <w:r>
        <w:rPr>
          <w:rFonts w:ascii="Inter" w:cs="Inter" w:eastAsia="Inter" w:hAnsi="Inter"/>
          <w:b/>
          <w:bCs/>
          <w:color w:val="C7A25A"/>
          <w:sz w:val="20"/>
          <w:szCs w:val="20"/>
        </w:rPr>
        <w:t xml:space="preserve">07</w:t>
      </w:r>
      <w:r>
        <w:rPr>
          <w:rFonts w:ascii="Libre Baskerville" w:cs="Libre Baskerville" w:eastAsia="Libre Baskerville" w:hAnsi="Libre Baskerville"/>
          <w:b/>
          <w:bCs/>
          <w:color w:val="0E3B2E"/>
          <w:sz w:val="22"/>
          <w:szCs w:val="22"/>
        </w:rPr>
        <w:t xml:space="preserve">	Lockups</w:t>
      </w:r>
      <w:r>
        <w:rPr>
          <w:rFonts w:ascii="Inter" w:cs="Inter" w:eastAsia="Inter" w:hAnsi="Inter"/>
          <w:color w:val="6B6B62"/>
          <w:sz w:val="18"/>
          <w:szCs w:val="18"/>
        </w:rPr>
        <w:t xml:space="preserve">	Horizontal, stacked, descriptor</w:t>
      </w:r>
    </w:p>
    <w:p>
      <w:pPr>
        <w:tabs>
          <w:tab w:val="left" w:pos="900"/>
          <w:tab w:val="left" w:pos="4200"/>
        </w:tabs>
        <w:spacing w:after="130"/>
      </w:pPr>
      <w:r>
        <w:rPr>
          <w:rFonts w:ascii="Inter" w:cs="Inter" w:eastAsia="Inter" w:hAnsi="Inter"/>
          <w:b/>
          <w:bCs/>
          <w:color w:val="C7A25A"/>
          <w:sz w:val="20"/>
          <w:szCs w:val="20"/>
        </w:rPr>
        <w:t xml:space="preserve">08</w:t>
      </w:r>
      <w:r>
        <w:rPr>
          <w:rFonts w:ascii="Libre Baskerville" w:cs="Libre Baskerville" w:eastAsia="Libre Baskerville" w:hAnsi="Libre Baskerville"/>
          <w:b/>
          <w:bCs/>
          <w:color w:val="0E3B2E"/>
          <w:sz w:val="22"/>
          <w:szCs w:val="22"/>
        </w:rPr>
        <w:t xml:space="preserve">	Colour</w:t>
      </w:r>
      <w:r>
        <w:rPr>
          <w:rFonts w:ascii="Inter" w:cs="Inter" w:eastAsia="Inter" w:hAnsi="Inter"/>
          <w:color w:val="6B6B62"/>
          <w:sz w:val="18"/>
          <w:szCs w:val="18"/>
        </w:rPr>
        <w:t xml:space="preserve">	Palette and specification</w:t>
      </w:r>
    </w:p>
    <w:p>
      <w:pPr>
        <w:tabs>
          <w:tab w:val="left" w:pos="900"/>
          <w:tab w:val="left" w:pos="4200"/>
        </w:tabs>
        <w:spacing w:after="130"/>
      </w:pPr>
      <w:r>
        <w:rPr>
          <w:rFonts w:ascii="Inter" w:cs="Inter" w:eastAsia="Inter" w:hAnsi="Inter"/>
          <w:b/>
          <w:bCs/>
          <w:color w:val="C7A25A"/>
          <w:sz w:val="20"/>
          <w:szCs w:val="20"/>
        </w:rPr>
        <w:t xml:space="preserve">09</w:t>
      </w:r>
      <w:r>
        <w:rPr>
          <w:rFonts w:ascii="Libre Baskerville" w:cs="Libre Baskerville" w:eastAsia="Libre Baskerville" w:hAnsi="Libre Baskerville"/>
          <w:b/>
          <w:bCs/>
          <w:color w:val="0E3B2E"/>
          <w:sz w:val="22"/>
          <w:szCs w:val="22"/>
        </w:rPr>
        <w:t xml:space="preserve">	Typography</w:t>
      </w:r>
      <w:r>
        <w:rPr>
          <w:rFonts w:ascii="Inter" w:cs="Inter" w:eastAsia="Inter" w:hAnsi="Inter"/>
          <w:color w:val="6B6B62"/>
          <w:sz w:val="18"/>
          <w:szCs w:val="18"/>
        </w:rPr>
        <w:t xml:space="preserve">	Libre Baskerville &amp; Inter</w:t>
      </w:r>
    </w:p>
    <w:p>
      <w:pPr>
        <w:tabs>
          <w:tab w:val="left" w:pos="900"/>
          <w:tab w:val="left" w:pos="4200"/>
        </w:tabs>
        <w:spacing w:after="130"/>
      </w:pPr>
      <w:r>
        <w:rPr>
          <w:rFonts w:ascii="Inter" w:cs="Inter" w:eastAsia="Inter" w:hAnsi="Inter"/>
          <w:b/>
          <w:bCs/>
          <w:color w:val="C7A25A"/>
          <w:sz w:val="20"/>
          <w:szCs w:val="20"/>
        </w:rPr>
        <w:t xml:space="preserve">10</w:t>
      </w:r>
      <w:r>
        <w:rPr>
          <w:rFonts w:ascii="Libre Baskerville" w:cs="Libre Baskerville" w:eastAsia="Libre Baskerville" w:hAnsi="Libre Baskerville"/>
          <w:b/>
          <w:bCs/>
          <w:color w:val="0E3B2E"/>
          <w:sz w:val="22"/>
          <w:szCs w:val="22"/>
        </w:rPr>
        <w:t xml:space="preserve">	Backgrounds &amp; Placement</w:t>
      </w:r>
      <w:r>
        <w:rPr>
          <w:rFonts w:ascii="Inter" w:cs="Inter" w:eastAsia="Inter" w:hAnsi="Inter"/>
          <w:color w:val="6B6B62"/>
          <w:sz w:val="18"/>
          <w:szCs w:val="18"/>
        </w:rPr>
        <w:t xml:space="preserve">	Where the mark may sit</w:t>
      </w:r>
    </w:p>
    <w:p>
      <w:pPr>
        <w:tabs>
          <w:tab w:val="left" w:pos="900"/>
          <w:tab w:val="left" w:pos="4200"/>
        </w:tabs>
        <w:spacing w:after="130"/>
      </w:pPr>
      <w:r>
        <w:rPr>
          <w:rFonts w:ascii="Inter" w:cs="Inter" w:eastAsia="Inter" w:hAnsi="Inter"/>
          <w:b/>
          <w:bCs/>
          <w:color w:val="C7A25A"/>
          <w:sz w:val="20"/>
          <w:szCs w:val="20"/>
        </w:rPr>
        <w:t xml:space="preserve">11</w:t>
      </w:r>
      <w:r>
        <w:rPr>
          <w:rFonts w:ascii="Libre Baskerville" w:cs="Libre Baskerville" w:eastAsia="Libre Baskerville" w:hAnsi="Libre Baskerville"/>
          <w:b/>
          <w:bCs/>
          <w:color w:val="0E3B2E"/>
          <w:sz w:val="22"/>
          <w:szCs w:val="22"/>
        </w:rPr>
        <w:t xml:space="preserve">	Misuse</w:t>
      </w:r>
      <w:r>
        <w:rPr>
          <w:rFonts w:ascii="Inter" w:cs="Inter" w:eastAsia="Inter" w:hAnsi="Inter"/>
          <w:color w:val="6B6B62"/>
          <w:sz w:val="18"/>
          <w:szCs w:val="18"/>
        </w:rPr>
        <w:t xml:space="preserve">	What never to do</w:t>
      </w:r>
    </w:p>
    <w:p>
      <w:pPr>
        <w:tabs>
          <w:tab w:val="left" w:pos="900"/>
          <w:tab w:val="left" w:pos="4200"/>
        </w:tabs>
        <w:spacing w:after="130"/>
      </w:pPr>
      <w:r>
        <w:rPr>
          <w:rFonts w:ascii="Inter" w:cs="Inter" w:eastAsia="Inter" w:hAnsi="Inter"/>
          <w:b/>
          <w:bCs/>
          <w:color w:val="C7A25A"/>
          <w:sz w:val="20"/>
          <w:szCs w:val="20"/>
        </w:rPr>
        <w:t xml:space="preserve">12</w:t>
      </w:r>
      <w:r>
        <w:rPr>
          <w:rFonts w:ascii="Libre Baskerville" w:cs="Libre Baskerville" w:eastAsia="Libre Baskerville" w:hAnsi="Libre Baskerville"/>
          <w:b/>
          <w:bCs/>
          <w:color w:val="0E3B2E"/>
          <w:sz w:val="22"/>
          <w:szCs w:val="22"/>
        </w:rPr>
        <w:t xml:space="preserve">	File Index</w:t>
      </w:r>
      <w:r>
        <w:rPr>
          <w:rFonts w:ascii="Inter" w:cs="Inter" w:eastAsia="Inter" w:hAnsi="Inter"/>
          <w:color w:val="6B6B62"/>
          <w:sz w:val="18"/>
          <w:szCs w:val="18"/>
        </w:rPr>
        <w:t xml:space="preserve">	Every supplied asset</w:t>
      </w:r>
    </w:p>
    <w:p>
      <w:r>
        <w:br w:type="page"/>
      </w:r>
    </w:p>
    <w:p>
      <w:pPr>
        <w:spacing w:after="40"/>
      </w:pPr>
      <w:r>
        <w:rPr>
          <w:rFonts w:ascii="Inter" w:cs="Inter" w:eastAsia="Inter" w:hAnsi="Inter"/>
          <w:b/>
          <w:bCs/>
          <w:color w:val="C7A25A"/>
          <w:spacing w:val="60"/>
          <w:sz w:val="16"/>
          <w:szCs w:val="16"/>
        </w:rPr>
        <w:t xml:space="preserve">01 — THE BRAND</w:t>
      </w:r>
    </w:p>
    <w:p>
      <w:pPr>
        <w:pStyle w:val="Heading1"/>
        <w:spacing w:after="160" w:before="120"/>
      </w:pPr>
      <w:r>
        <w:rPr>
          <w:rFonts w:ascii="Libre Baskerville" w:cs="Libre Baskerville" w:eastAsia="Libre Baskerville" w:hAnsi="Libre Baskerville"/>
          <w:b/>
          <w:bCs/>
          <w:color w:val="0E3B2E"/>
          <w:sz w:val="40"/>
          <w:szCs w:val="40"/>
        </w:rPr>
        <w:t xml:space="preserve">A single institution</w:t>
      </w:r>
    </w:p>
    <w:p>
      <w:pPr>
        <w:spacing w:after="140" w:line="300"/>
      </w:pPr>
      <w:r>
        <w:rPr>
          <w:rFonts w:ascii="Inter" w:cs="Inter" w:eastAsia="Inter" w:hAnsi="Inter"/>
          <w:color w:val="1C2B25"/>
          <w:sz w:val="20"/>
          <w:szCs w:val="20"/>
        </w:rPr>
        <w:t xml:space="preserve">Sunnah Remedies is a unified Institute of Prophetic Medicine — one premium institutional brand expressed through four interconnected pillars: the Institute, the Clinic, the Apothecary, and the Community. Every asset in this system exists to reinforce a single, coherent institutional experience, never four separate brands.</w:t>
      </w:r>
    </w:p>
    <w:p>
      <w:pPr>
        <w:spacing w:after="140" w:line="300"/>
      </w:pPr>
      <w:r>
        <w:rPr>
          <w:rFonts w:ascii="Inter" w:cs="Inter" w:eastAsia="Inter" w:hAnsi="Inter"/>
          <w:color w:val="1C2B25"/>
          <w:sz w:val="20"/>
          <w:szCs w:val="20"/>
        </w:rPr>
        <w:t xml:space="preserve">The register is deliberately secular-luxury: quiet, exact, and confident. It is benchmarked against houses such as Aesop, Aman, Jo Malone and Harvard Executive Education rather than faith-institutional or clinical-medical conventions. Restraint is the defining discipline — distinctiveness comes from real substance and craft, not decoration.</w:t>
      </w:r>
    </w:p>
    <w:p>
      <w:pPr>
        <w:spacing w:after="100" w:before="260"/>
      </w:pPr>
      <w:r>
        <w:rPr>
          <w:rFonts w:ascii="Libre Baskerville" w:cs="Libre Baskerville" w:eastAsia="Libre Baskerville" w:hAnsi="Libre Baskerville"/>
          <w:b/>
          <w:bCs/>
          <w:color w:val="0E3B2E"/>
          <w:sz w:val="26"/>
          <w:szCs w:val="26"/>
        </w:rPr>
        <w:t xml:space="preserve">Principles that govern the identity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Inter" w:cs="Inter" w:eastAsia="Inter" w:hAnsi="Inter"/>
          <w:color w:val="1C2B25"/>
          <w:sz w:val="20"/>
          <w:szCs w:val="20"/>
        </w:rPr>
        <w:t xml:space="preserve">One design system. One navigation model. One institution.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Inter" w:cs="Inter" w:eastAsia="Inter" w:hAnsi="Inter"/>
          <w:color w:val="1C2B25"/>
          <w:sz w:val="20"/>
          <w:szCs w:val="20"/>
        </w:rPr>
        <w:t xml:space="preserve">Restraint over decoration — the absence of ornament means every element must earn its place.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Inter" w:cs="Inter" w:eastAsia="Inter" w:hAnsi="Inter"/>
          <w:color w:val="1C2B25"/>
          <w:sz w:val="20"/>
          <w:szCs w:val="20"/>
        </w:rPr>
        <w:t xml:space="preserve">Real substance carries the brand: named authorship, dated work, credentials and citations, not aesthetic alone.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Inter" w:cs="Inter" w:eastAsia="Inter" w:hAnsi="Inter"/>
          <w:color w:val="1C2B25"/>
          <w:sz w:val="20"/>
          <w:szCs w:val="20"/>
        </w:rPr>
        <w:t xml:space="preserve">The palette sits close to default AI-generated aesthetics, so distinctiveness must come from print-craft typography and genuine institutional detail.</w:t>
      </w:r>
    </w:p>
    <w:p>
      <w:r>
        <w:br w:type="page"/>
      </w:r>
    </w:p>
    <w:p>
      <w:pPr>
        <w:spacing w:after="40"/>
      </w:pPr>
      <w:r>
        <w:rPr>
          <w:rFonts w:ascii="Inter" w:cs="Inter" w:eastAsia="Inter" w:hAnsi="Inter"/>
          <w:b/>
          <w:bCs/>
          <w:color w:val="C7A25A"/>
          <w:spacing w:val="60"/>
          <w:sz w:val="16"/>
          <w:szCs w:val="16"/>
        </w:rPr>
        <w:t xml:space="preserve">02 — THE MARK</w:t>
      </w:r>
    </w:p>
    <w:p>
      <w:pPr>
        <w:pStyle w:val="Heading1"/>
        <w:spacing w:after="160" w:before="120"/>
      </w:pPr>
      <w:r>
        <w:rPr>
          <w:rFonts w:ascii="Libre Baskerville" w:cs="Libre Baskerville" w:eastAsia="Libre Baskerville" w:hAnsi="Libre Baskerville"/>
          <w:b/>
          <w:bCs/>
          <w:color w:val="0E3B2E"/>
          <w:sz w:val="40"/>
          <w:szCs w:val="40"/>
        </w:rPr>
        <w:t xml:space="preserve">The mark and its meaning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200"/>
        <w:gridCol w:w="5400"/>
      </w:tblGrid>
      <w:tr>
        <w:tc>
          <w:tcPr>
            <w:tcW w:type="dxa" w:w="4200"/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809750" cy="1809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00"/>
            <w:tcMar>
              <w:left w:type="dxa" w:w="220"/>
            </w:tcMar>
            <w:vAlign w:val="center"/>
          </w:tcPr>
          <w:p>
            <w:pPr>
              <w:spacing w:after="140" w:line="300"/>
            </w:pPr>
            <w:r>
              <w:rPr>
                <w:rFonts w:ascii="Inter" w:cs="Inter" w:eastAsia="Inter" w:hAnsi="Inter"/>
                <w:color w:val="1C2B25"/>
                <w:sz w:val="20"/>
                <w:szCs w:val="20"/>
              </w:rPr>
              <w:t xml:space="preserve">The mark holds three elements within a single emerald field.</w:t>
            </w:r>
          </w:p>
          <w:p>
            <w:pPr>
              <w:spacing w:after="90"/>
            </w:pPr>
            <w:r>
              <w:rPr>
                <w:rFonts w:ascii="Libre Baskerville" w:cs="Libre Baskerville" w:eastAsia="Libre Baskerville" w:hAnsi="Libre Baskerville"/>
                <w:b/>
                <w:bCs/>
                <w:color w:val="0E3B2E"/>
                <w:sz w:val="20"/>
                <w:szCs w:val="20"/>
              </w:rPr>
              <w:t xml:space="preserve">The arch  </w:t>
            </w:r>
            <w:r>
              <w:rPr>
                <w:rFonts w:ascii="Inter" w:cs="Inter" w:eastAsia="Inter" w:hAnsi="Inter"/>
                <w:color w:val="1C2B25"/>
                <w:sz w:val="19"/>
                <w:szCs w:val="19"/>
              </w:rPr>
              <w:t xml:space="preserve">— an apothecary lantern and a threshold: heritage, shelter, and considered care.</w:t>
            </w:r>
          </w:p>
          <w:p>
            <w:pPr>
              <w:spacing w:after="90"/>
            </w:pPr>
            <w:r>
              <w:rPr>
                <w:rFonts w:ascii="Libre Baskerville" w:cs="Libre Baskerville" w:eastAsia="Libre Baskerville" w:hAnsi="Libre Baskerville"/>
                <w:b/>
                <w:bCs/>
                <w:color w:val="0E3B2E"/>
                <w:sz w:val="20"/>
                <w:szCs w:val="20"/>
              </w:rPr>
              <w:t xml:space="preserve">The droplet  </w:t>
            </w:r>
            <w:r>
              <w:rPr>
                <w:rFonts w:ascii="Inter" w:cs="Inter" w:eastAsia="Inter" w:hAnsi="Inter"/>
                <w:color w:val="1C2B25"/>
                <w:sz w:val="19"/>
                <w:szCs w:val="19"/>
              </w:rPr>
              <w:t xml:space="preserve">— the remedy itself, rendered in antique gold as the singular focal point.</w:t>
            </w:r>
          </w:p>
          <w:p>
            <w:r>
              <w:rPr>
                <w:rFonts w:ascii="Libre Baskerville" w:cs="Libre Baskerville" w:eastAsia="Libre Baskerville" w:hAnsi="Libre Baskerville"/>
                <w:b/>
                <w:bCs/>
                <w:color w:val="0E3B2E"/>
                <w:sz w:val="20"/>
                <w:szCs w:val="20"/>
              </w:rPr>
              <w:t xml:space="preserve">The water  </w:t>
            </w:r>
            <w:r>
              <w:rPr>
                <w:rFonts w:ascii="Inter" w:cs="Inter" w:eastAsia="Inter" w:hAnsi="Inter"/>
                <w:color w:val="1C2B25"/>
                <w:sz w:val="19"/>
                <w:szCs w:val="19"/>
              </w:rPr>
              <w:t xml:space="preserve">— twin waves signalling purity, source, and the natural origin of what is offered.</w:t>
            </w:r>
          </w:p>
        </w:tc>
      </w:tr>
    </w:tbl>
    <w:p>
      <w:pPr>
        <w:pBdr>
          <w:bottom w:val="single" w:color="DDD8CE" w:sz="6" w:space="1"/>
        </w:pBdr>
        <w:spacing w:after="160" w:before="60"/>
      </w:pPr>
    </w:p>
    <w:p>
      <w:pPr>
        <w:spacing w:after="60"/>
      </w:pPr>
      <w:r>
        <w:rPr>
          <w:rFonts w:ascii="Inter" w:cs="Inter" w:eastAsia="Inter" w:hAnsi="Inter"/>
          <w:color w:val="6B6B62"/>
          <w:sz w:val="16"/>
          <w:szCs w:val="16"/>
        </w:rPr>
        <w:t xml:space="preserve">The mark is fixed artwork. Its proportions, stroke weights and internal relationships must never be redrawn, rebuilt or approximated. Always place supplied files.</w:t>
      </w:r>
    </w:p>
    <w:p>
      <w:r>
        <w:br w:type="page"/>
      </w:r>
    </w:p>
    <w:p>
      <w:pPr>
        <w:spacing w:after="40"/>
      </w:pPr>
      <w:r>
        <w:rPr>
          <w:rFonts w:ascii="Inter" w:cs="Inter" w:eastAsia="Inter" w:hAnsi="Inter"/>
          <w:b/>
          <w:bCs/>
          <w:color w:val="C7A25A"/>
          <w:spacing w:val="60"/>
          <w:sz w:val="16"/>
          <w:szCs w:val="16"/>
        </w:rPr>
        <w:t xml:space="preserve">03 — PRIMARY LOGO</w:t>
      </w:r>
    </w:p>
    <w:p>
      <w:pPr>
        <w:pStyle w:val="Heading1"/>
        <w:spacing w:after="160" w:before="120"/>
      </w:pPr>
      <w:r>
        <w:rPr>
          <w:rFonts w:ascii="Libre Baskerville" w:cs="Libre Baskerville" w:eastAsia="Libre Baskerville" w:hAnsi="Libre Baskerville"/>
          <w:b/>
          <w:bCs/>
          <w:color w:val="0E3B2E"/>
          <w:sz w:val="40"/>
          <w:szCs w:val="40"/>
        </w:rPr>
        <w:t xml:space="preserve">The primary logo</w:t>
      </w:r>
    </w:p>
    <w:p>
      <w:pPr>
        <w:spacing w:after="140" w:line="300"/>
      </w:pPr>
      <w:r>
        <w:rPr>
          <w:rFonts w:ascii="Inter" w:cs="Inter" w:eastAsia="Inter" w:hAnsi="Inter"/>
          <w:color w:val="1C2B25"/>
          <w:sz w:val="20"/>
          <w:szCs w:val="20"/>
        </w:rPr>
        <w:t xml:space="preserve">The primary logo is the full-colour mark on the Deep Emerald field: an ivory arch and waves with a single gold droplet. This is the preferred expression of the brand and should be used wherever colour reproduction and space allow.</w:t>
      </w:r>
    </w:p>
    <w:p>
      <w:pPr>
        <w:spacing w:after="60"/>
        <w:jc w:val="center"/>
      </w:pPr>
      <w:r>
        <w:drawing>
          <wp:inline distT="0" distB="0" distL="0" distR="0">
            <wp:extent cx="2286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Inter" w:cs="Inter" w:eastAsia="Inter" w:hAnsi="Inter"/>
          <w:color w:val="6B6B62"/>
          <w:sz w:val="16"/>
          <w:szCs w:val="16"/>
        </w:rPr>
        <w:t xml:space="preserve">Primary logo — full colour on Deep Emerald.</w:t>
      </w:r>
    </w:p>
    <w:p>
      <w:pPr>
        <w:spacing w:after="100" w:before="260"/>
      </w:pPr>
      <w:r>
        <w:rPr>
          <w:rFonts w:ascii="Libre Baskerville" w:cs="Libre Baskerville" w:eastAsia="Libre Baskerville" w:hAnsi="Libre Baskerville"/>
          <w:b/>
          <w:bCs/>
          <w:color w:val="0E3B2E"/>
          <w:sz w:val="26"/>
          <w:szCs w:val="26"/>
        </w:rPr>
        <w:t xml:space="preserve">Why the emerald field is integral</w:t>
      </w:r>
    </w:p>
    <w:p>
      <w:pPr>
        <w:spacing w:after="140" w:line="300"/>
      </w:pPr>
      <w:r>
        <w:rPr>
          <w:rFonts w:ascii="Inter" w:cs="Inter" w:eastAsia="Inter" w:hAnsi="Inter"/>
          <w:color w:val="1C2B25"/>
          <w:sz w:val="20"/>
          <w:szCs w:val="20"/>
        </w:rPr>
        <w:t xml:space="preserve">The arch and waves are rendered in Warm Ivory. They read only against the emerald field. For this reason the full-colour mark is always presented on its emerald tile. On backgrounds other than emerald, use the single-colour variations shown in section 06 rather than lifting the ivory artwork onto a pale surface, where it would disappear.</w:t>
      </w:r>
    </w:p>
    <w:p>
      <w:r>
        <w:br w:type="page"/>
      </w:r>
    </w:p>
    <w:p>
      <w:pPr>
        <w:spacing w:after="40"/>
      </w:pPr>
      <w:r>
        <w:rPr>
          <w:rFonts w:ascii="Inter" w:cs="Inter" w:eastAsia="Inter" w:hAnsi="Inter"/>
          <w:b/>
          <w:bCs/>
          <w:color w:val="C7A25A"/>
          <w:spacing w:val="60"/>
          <w:sz w:val="16"/>
          <w:szCs w:val="16"/>
        </w:rPr>
        <w:t xml:space="preserve">04 — CONSTRUCTION &amp; CLEAR SPACE</w:t>
      </w:r>
    </w:p>
    <w:p>
      <w:pPr>
        <w:pStyle w:val="Heading1"/>
        <w:spacing w:after="160" w:before="120"/>
      </w:pPr>
      <w:r>
        <w:rPr>
          <w:rFonts w:ascii="Libre Baskerville" w:cs="Libre Baskerville" w:eastAsia="Libre Baskerville" w:hAnsi="Libre Baskerville"/>
          <w:b/>
          <w:bCs/>
          <w:color w:val="0E3B2E"/>
          <w:sz w:val="40"/>
          <w:szCs w:val="40"/>
        </w:rPr>
        <w:t xml:space="preserve">Construction</w:t>
      </w:r>
    </w:p>
    <w:p>
      <w:pPr>
        <w:spacing w:after="140" w:line="300"/>
      </w:pPr>
      <w:r>
        <w:rPr>
          <w:rFonts w:ascii="Inter" w:cs="Inter" w:eastAsia="Inter" w:hAnsi="Inter"/>
          <w:color w:val="1C2B25"/>
          <w:sz w:val="20"/>
          <w:szCs w:val="20"/>
        </w:rPr>
        <w:t xml:space="preserve">The mark is built on a square field divided into an even modular grid. The arch, droplet and waves align to this grid. The geometry is fixed — the diagram below is provided for reference and reproduction checking only.</w:t>
      </w:r>
    </w:p>
    <w:p>
      <w:pPr>
        <w:spacing w:after="40"/>
        <w:jc w:val="center"/>
      </w:pPr>
      <w:r>
        <w:drawing>
          <wp:inline distT="0" distB="0" distL="0" distR="0">
            <wp:extent cx="2857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Inter" w:cs="Inter" w:eastAsia="Inter" w:hAnsi="Inter"/>
          <w:color w:val="6B6B62"/>
          <w:sz w:val="16"/>
          <w:szCs w:val="16"/>
        </w:rPr>
        <w:t xml:space="preserve">Construction grid — for reference only. Do not rebuild the mark from the grid.</w:t>
      </w:r>
    </w:p>
    <w:p>
      <w:pPr>
        <w:spacing w:after="100" w:before="260"/>
      </w:pPr>
      <w:r>
        <w:rPr>
          <w:rFonts w:ascii="Libre Baskerville" w:cs="Libre Baskerville" w:eastAsia="Libre Baskerville" w:hAnsi="Libre Baskerville"/>
          <w:b/>
          <w:bCs/>
          <w:color w:val="0E3B2E"/>
          <w:sz w:val="26"/>
          <w:szCs w:val="26"/>
        </w:rPr>
        <w:t xml:space="preserve">Clear space</w:t>
      </w:r>
    </w:p>
    <w:p>
      <w:pPr>
        <w:spacing w:after="140" w:line="300"/>
      </w:pPr>
      <w:r>
        <w:rPr>
          <w:rFonts w:ascii="Inter" w:cs="Inter" w:eastAsia="Inter" w:hAnsi="Inter"/>
          <w:color w:val="1C2B25"/>
          <w:sz w:val="20"/>
          <w:szCs w:val="20"/>
        </w:rPr>
        <w:t xml:space="preserve">Protect the mark with clear space on all sides equal to X, where X is one quarter of the mark's width. No other logo, wordmark, caption or graphic element may enter this zone. When in doubt, give the mark more room, never less.</w:t>
      </w:r>
    </w:p>
    <w:p>
      <w:pPr>
        <w:spacing w:after="40"/>
        <w:jc w:val="center"/>
      </w:pPr>
      <w:r>
        <w:drawing>
          <wp:inline distT="0" distB="0" distL="0" distR="0">
            <wp:extent cx="2857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Inter" w:cs="Inter" w:eastAsia="Inter" w:hAnsi="Inter"/>
          <w:color w:val="6B6B62"/>
          <w:sz w:val="16"/>
          <w:szCs w:val="16"/>
        </w:rPr>
        <w:t xml:space="preserve">Minimum clear space = X on every side (X = ¼ of the mark width).</w:t>
      </w:r>
    </w:p>
    <w:p>
      <w:r>
        <w:br w:type="page"/>
      </w:r>
    </w:p>
    <w:p>
      <w:pPr>
        <w:spacing w:after="40"/>
      </w:pPr>
      <w:r>
        <w:rPr>
          <w:rFonts w:ascii="Inter" w:cs="Inter" w:eastAsia="Inter" w:hAnsi="Inter"/>
          <w:b/>
          <w:bCs/>
          <w:color w:val="C7A25A"/>
          <w:spacing w:val="60"/>
          <w:sz w:val="16"/>
          <w:szCs w:val="16"/>
        </w:rPr>
        <w:t xml:space="preserve">05 — MINIMUM SIZES</w:t>
      </w:r>
    </w:p>
    <w:p>
      <w:pPr>
        <w:pStyle w:val="Heading1"/>
        <w:spacing w:after="160" w:before="120"/>
      </w:pPr>
      <w:r>
        <w:rPr>
          <w:rFonts w:ascii="Libre Baskerville" w:cs="Libre Baskerville" w:eastAsia="Libre Baskerville" w:hAnsi="Libre Baskerville"/>
          <w:b/>
          <w:bCs/>
          <w:color w:val="0E3B2E"/>
          <w:sz w:val="40"/>
          <w:szCs w:val="40"/>
        </w:rPr>
        <w:t xml:space="preserve">Minimum sizes</w:t>
      </w:r>
    </w:p>
    <w:p>
      <w:pPr>
        <w:spacing w:after="140" w:line="300"/>
      </w:pPr>
      <w:r>
        <w:rPr>
          <w:rFonts w:ascii="Inter" w:cs="Inter" w:eastAsia="Inter" w:hAnsi="Inter"/>
          <w:color w:val="1C2B25"/>
          <w:sz w:val="20"/>
          <w:szCs w:val="20"/>
        </w:rPr>
        <w:t xml:space="preserve">To preserve legibility of the droplet and the fine arch stroke, never reproduce the icon below the sizes shown. Below 24 px the waves begin to close up; 16 px is the absolute floor and is reserved for favicons and interface chrome.</w:t>
      </w:r>
    </w:p>
    <w:p>
      <w:pPr>
        <w:spacing w:after="40"/>
        <w:jc w:val="center"/>
      </w:pPr>
      <w:r>
        <w:drawing>
          <wp:inline distT="0" distB="0" distL="0" distR="0">
            <wp:extent cx="4381500" cy="1457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60"/>
      </w:pPr>
      <w:r>
        <w:rPr>
          <w:rFonts w:ascii="Libre Baskerville" w:cs="Libre Baskerville" w:eastAsia="Libre Baskerville" w:hAnsi="Libre Baskerville"/>
          <w:b/>
          <w:bCs/>
          <w:color w:val="0E3B2E"/>
          <w:sz w:val="26"/>
          <w:szCs w:val="26"/>
        </w:rPr>
        <w:t xml:space="preserve">Recommended floors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shd w:fill="0E3B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6F3EE"/>
                <w:sz w:val="18"/>
                <w:szCs w:val="18"/>
              </w:rPr>
              <w:t xml:space="preserve">Icon — digital</w:t>
            </w:r>
          </w:p>
        </w:tc>
        <w:tc>
          <w:tcPr>
            <w:tcW w:type="dxa" w:w="6400"/>
            <w:shd w:fill="17513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color w:val="F6F3EE"/>
                <w:sz w:val="18"/>
                <w:szCs w:val="18"/>
              </w:rPr>
              <w:t xml:space="preserve">24 px minimum (16 px for favicon only)</w:t>
            </w:r>
          </w:p>
        </w:tc>
      </w:tr>
      <w:tr>
        <w:tc>
          <w:tcPr>
            <w:tcW w:type="dxa" w:w="3200"/>
            <w:shd w:fill="F1EEE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0E3B2E"/>
                <w:sz w:val="18"/>
                <w:szCs w:val="18"/>
              </w:rPr>
              <w:t xml:space="preserve">Icon — print</w:t>
            </w:r>
          </w:p>
        </w:tc>
        <w:tc>
          <w:tcPr>
            <w:tcW w:type="dxa" w:w="6400"/>
            <w:shd w:fill="FBFA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color w:val="1C2B25"/>
                <w:sz w:val="18"/>
                <w:szCs w:val="18"/>
              </w:rPr>
              <w:t xml:space="preserve">10 mm minimum width</w:t>
            </w:r>
          </w:p>
        </w:tc>
      </w:tr>
      <w:tr>
        <w:tc>
          <w:tcPr>
            <w:tcW w:type="dxa" w:w="3200"/>
            <w:shd w:fill="F1EEE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0E3B2E"/>
                <w:sz w:val="18"/>
                <w:szCs w:val="18"/>
              </w:rPr>
              <w:t xml:space="preserve">Horizontal lockup — digital</w:t>
            </w:r>
          </w:p>
        </w:tc>
        <w:tc>
          <w:tcPr>
            <w:tcW w:type="dxa" w:w="6400"/>
            <w:shd w:fill="FBFA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color w:val="1C2B25"/>
                <w:sz w:val="18"/>
                <w:szCs w:val="18"/>
              </w:rPr>
              <w:t xml:space="preserve">180 px minimum width</w:t>
            </w:r>
          </w:p>
        </w:tc>
      </w:tr>
      <w:tr>
        <w:tc>
          <w:tcPr>
            <w:tcW w:type="dxa" w:w="3200"/>
            <w:shd w:fill="F1EEE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0E3B2E"/>
                <w:sz w:val="18"/>
                <w:szCs w:val="18"/>
              </w:rPr>
              <w:t xml:space="preserve">Horizontal lockup — print</w:t>
            </w:r>
          </w:p>
        </w:tc>
        <w:tc>
          <w:tcPr>
            <w:tcW w:type="dxa" w:w="6400"/>
            <w:shd w:fill="FBFA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color w:val="1C2B25"/>
                <w:sz w:val="18"/>
                <w:szCs w:val="18"/>
              </w:rPr>
              <w:t xml:space="preserve">40 mm minimum width</w:t>
            </w:r>
          </w:p>
        </w:tc>
      </w:tr>
      <w:tr>
        <w:tc>
          <w:tcPr>
            <w:tcW w:type="dxa" w:w="3200"/>
            <w:shd w:fill="F1EEE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0E3B2E"/>
                <w:sz w:val="18"/>
                <w:szCs w:val="18"/>
              </w:rPr>
              <w:t xml:space="preserve">Stacked lockup — print</w:t>
            </w:r>
          </w:p>
        </w:tc>
        <w:tc>
          <w:tcPr>
            <w:tcW w:type="dxa" w:w="6400"/>
            <w:shd w:fill="FBFA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color w:val="1C2B25"/>
                <w:sz w:val="18"/>
                <w:szCs w:val="18"/>
              </w:rPr>
              <w:t xml:space="preserve">30 mm minimum width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Inter" w:cs="Inter" w:eastAsia="Inter" w:hAnsi="Inter"/>
          <w:b/>
          <w:bCs/>
          <w:color w:val="C7A25A"/>
          <w:spacing w:val="60"/>
          <w:sz w:val="16"/>
          <w:szCs w:val="16"/>
        </w:rPr>
        <w:t xml:space="preserve">06 — THE LOGO SUITE</w:t>
      </w:r>
    </w:p>
    <w:p>
      <w:pPr>
        <w:pStyle w:val="Heading1"/>
        <w:spacing w:after="160" w:before="120"/>
      </w:pPr>
      <w:r>
        <w:rPr>
          <w:rFonts w:ascii="Libre Baskerville" w:cs="Libre Baskerville" w:eastAsia="Libre Baskerville" w:hAnsi="Libre Baskerville"/>
          <w:b/>
          <w:bCs/>
          <w:color w:val="0E3B2E"/>
          <w:sz w:val="40"/>
          <w:szCs w:val="40"/>
        </w:rPr>
        <w:t xml:space="preserve">The logo suite</w:t>
      </w:r>
    </w:p>
    <w:p>
      <w:pPr>
        <w:spacing w:after="140" w:line="300"/>
      </w:pPr>
      <w:r>
        <w:rPr>
          <w:rFonts w:ascii="Inter" w:cs="Inter" w:eastAsia="Inter" w:hAnsi="Inter"/>
          <w:color w:val="1C2B25"/>
          <w:sz w:val="20"/>
          <w:szCs w:val="20"/>
        </w:rPr>
        <w:t xml:space="preserve">Beyond the primary logo, the icon is supplied in a controlled set of single- and two-colour variations. Each has a defined purpose. Choose the variation by background, never by preference.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CellMar>
          <w:bottom w:type="dxa" w:w="160"/>
        </w:tblCellMar>
      </w:tblPr>
      <w:tblGrid>
        <w:gridCol w:w="2400"/>
        <w:gridCol w:w="7200"/>
      </w:tblGrid>
      <w:tr>
        <w:tc>
          <w:tcPr>
            <w:tcW w:type="dxa" w:w="2400"/>
            <w:shd w:fill="F1EEE7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43000" cy="1143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0"/>
            <w:tcMar>
              <w:left w:type="dxa" w:w="260"/>
            </w:tcMar>
            <w:vAlign w:val="center"/>
          </w:tcPr>
          <w:p>
            <w:pPr>
              <w:spacing w:after="50"/>
            </w:pPr>
            <w:r>
              <w:rPr>
                <w:rFonts w:ascii="Libre Baskerville" w:cs="Libre Baskerville" w:eastAsia="Libre Baskerville" w:hAnsi="Libre Baskerville"/>
                <w:b/>
                <w:bCs/>
                <w:color w:val="0E3B2E"/>
                <w:sz w:val="22"/>
                <w:szCs w:val="22"/>
              </w:rPr>
              <w:t xml:space="preserve">Primary — full colour</w:t>
            </w:r>
          </w:p>
          <w:p>
            <w:r>
              <w:rPr>
                <w:rFonts w:ascii="Inter" w:cs="Inter" w:eastAsia="Inter" w:hAnsi="Inter"/>
                <w:color w:val="1C2B25"/>
                <w:sz w:val="18"/>
                <w:szCs w:val="18"/>
              </w:rPr>
              <w:t xml:space="preserve">Default. Emerald field, ivory arch, gold droplet. Use wherever colour and space allow.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CellMar>
          <w:bottom w:type="dxa" w:w="160"/>
        </w:tblCellMar>
      </w:tblPr>
      <w:tblGrid>
        <w:gridCol w:w="2400"/>
        <w:gridCol w:w="7200"/>
      </w:tblGrid>
      <w:tr>
        <w:tc>
          <w:tcPr>
            <w:tcW w:type="dxa" w:w="2400"/>
            <w:shd w:fill="F1EEE7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43000" cy="1143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0"/>
            <w:tcMar>
              <w:left w:type="dxa" w:w="260"/>
            </w:tcMar>
            <w:vAlign w:val="center"/>
          </w:tcPr>
          <w:p>
            <w:pPr>
              <w:spacing w:after="50"/>
            </w:pPr>
            <w:r>
              <w:rPr>
                <w:rFonts w:ascii="Libre Baskerville" w:cs="Libre Baskerville" w:eastAsia="Libre Baskerville" w:hAnsi="Libre Baskerville"/>
                <w:b/>
                <w:bCs/>
                <w:color w:val="0E3B2E"/>
                <w:sz w:val="22"/>
                <w:szCs w:val="22"/>
              </w:rPr>
              <w:t xml:space="preserve">App icon — rounded</w:t>
            </w:r>
          </w:p>
          <w:p>
            <w:r>
              <w:rPr>
                <w:rFonts w:ascii="Inter" w:cs="Inter" w:eastAsia="Inter" w:hAnsi="Inter"/>
                <w:color w:val="1C2B25"/>
                <w:sz w:val="18"/>
                <w:szCs w:val="18"/>
              </w:rPr>
              <w:t xml:space="preserve">The primary mark on a rounded emerald tile for app icons and avatars.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CellMar>
          <w:bottom w:type="dxa" w:w="160"/>
        </w:tblCellMar>
      </w:tblPr>
      <w:tblGrid>
        <w:gridCol w:w="2400"/>
        <w:gridCol w:w="7200"/>
      </w:tblGrid>
      <w:tr>
        <w:tc>
          <w:tcPr>
            <w:tcW w:type="dxa" w:w="2400"/>
            <w:shd w:fill="F1EEE7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43000" cy="1143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0"/>
            <w:tcMar>
              <w:left w:type="dxa" w:w="260"/>
            </w:tcMar>
            <w:vAlign w:val="center"/>
          </w:tcPr>
          <w:p>
            <w:pPr>
              <w:spacing w:after="50"/>
            </w:pPr>
            <w:r>
              <w:rPr>
                <w:rFonts w:ascii="Libre Baskerville" w:cs="Libre Baskerville" w:eastAsia="Libre Baskerville" w:hAnsi="Libre Baskerville"/>
                <w:b/>
                <w:bCs/>
                <w:color w:val="0E3B2E"/>
                <w:sz w:val="22"/>
                <w:szCs w:val="22"/>
              </w:rPr>
              <w:t xml:space="preserve">Single-colour emerald</w:t>
            </w:r>
          </w:p>
          <w:p>
            <w:r>
              <w:rPr>
                <w:rFonts w:ascii="Inter" w:cs="Inter" w:eastAsia="Inter" w:hAnsi="Inter"/>
                <w:color w:val="1C2B25"/>
                <w:sz w:val="18"/>
                <w:szCs w:val="18"/>
              </w:rPr>
              <w:t xml:space="preserve">The whole mark in Deep Emerald on transparent. For light and ivory backgrounds.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Inter" w:cs="Inter" w:eastAsia="Inter" w:hAnsi="Inter"/>
          <w:b/>
          <w:bCs/>
          <w:color w:val="C7A25A"/>
          <w:spacing w:val="60"/>
          <w:sz w:val="16"/>
          <w:szCs w:val="16"/>
        </w:rPr>
        <w:t xml:space="preserve">06 — THE LOGO SUITE</w:t>
      </w:r>
    </w:p>
    <w:p>
      <w:pPr>
        <w:pStyle w:val="Heading1"/>
        <w:spacing w:after="60" w:before="120"/>
      </w:pPr>
      <w:r>
        <w:rPr>
          <w:rFonts w:ascii="Libre Baskerville" w:cs="Libre Baskerville" w:eastAsia="Libre Baskerville" w:hAnsi="Libre Baskerville"/>
          <w:b/>
          <w:bCs/>
          <w:color w:val="0E3B2E"/>
          <w:sz w:val="40"/>
          <w:szCs w:val="40"/>
        </w:rPr>
        <w:t xml:space="preserve">The logo suite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CellMar>
          <w:bottom w:type="dxa" w:w="160"/>
        </w:tblCellMar>
      </w:tblPr>
      <w:tblGrid>
        <w:gridCol w:w="2400"/>
        <w:gridCol w:w="7200"/>
      </w:tblGrid>
      <w:tr>
        <w:tc>
          <w:tcPr>
            <w:tcW w:type="dxa" w:w="2400"/>
            <w:shd w:fill="0E3B2E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43000" cy="1143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0"/>
            <w:tcMar>
              <w:left w:type="dxa" w:w="260"/>
            </w:tcMar>
            <w:vAlign w:val="center"/>
          </w:tcPr>
          <w:p>
            <w:pPr>
              <w:spacing w:after="50"/>
            </w:pPr>
            <w:r>
              <w:rPr>
                <w:rFonts w:ascii="Libre Baskerville" w:cs="Libre Baskerville" w:eastAsia="Libre Baskerville" w:hAnsi="Libre Baskerville"/>
                <w:b/>
                <w:bCs/>
                <w:color w:val="0E3B2E"/>
                <w:sz w:val="22"/>
                <w:szCs w:val="22"/>
              </w:rPr>
              <w:t xml:space="preserve">Reversed — ivory</w:t>
            </w:r>
          </w:p>
          <w:p>
            <w:r>
              <w:rPr>
                <w:rFonts w:ascii="Inter" w:cs="Inter" w:eastAsia="Inter" w:hAnsi="Inter"/>
                <w:color w:val="1C2B25"/>
                <w:sz w:val="18"/>
                <w:szCs w:val="18"/>
              </w:rPr>
              <w:t xml:space="preserve">The whole mark in Warm Ivory on transparent. For emerald, photographic and dark backgrounds.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CellMar>
          <w:bottom w:type="dxa" w:w="160"/>
        </w:tblCellMar>
      </w:tblPr>
      <w:tblGrid>
        <w:gridCol w:w="2400"/>
        <w:gridCol w:w="7200"/>
      </w:tblGrid>
      <w:tr>
        <w:tc>
          <w:tcPr>
            <w:tcW w:type="dxa" w:w="2400"/>
            <w:shd w:fill="F1EEE7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43000" cy="1143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0"/>
            <w:tcMar>
              <w:left w:type="dxa" w:w="260"/>
            </w:tcMar>
            <w:vAlign w:val="center"/>
          </w:tcPr>
          <w:p>
            <w:pPr>
              <w:spacing w:after="50"/>
            </w:pPr>
            <w:r>
              <w:rPr>
                <w:rFonts w:ascii="Libre Baskerville" w:cs="Libre Baskerville" w:eastAsia="Libre Baskerville" w:hAnsi="Libre Baskerville"/>
                <w:b/>
                <w:bCs/>
                <w:color w:val="0E3B2E"/>
                <w:sz w:val="22"/>
                <w:szCs w:val="22"/>
              </w:rPr>
              <w:t xml:space="preserve">Two-colour on light</w:t>
            </w:r>
          </w:p>
          <w:p>
            <w:r>
              <w:rPr>
                <w:rFonts w:ascii="Inter" w:cs="Inter" w:eastAsia="Inter" w:hAnsi="Inter"/>
                <w:color w:val="1C2B25"/>
                <w:sz w:val="18"/>
                <w:szCs w:val="18"/>
              </w:rPr>
              <w:t xml:space="preserve">Emerald arch with gold droplet on transparent. A refined option for premium light-background stationery.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CellMar>
          <w:bottom w:type="dxa" w:w="160"/>
        </w:tblCellMar>
      </w:tblPr>
      <w:tblGrid>
        <w:gridCol w:w="2400"/>
        <w:gridCol w:w="7200"/>
      </w:tblGrid>
      <w:tr>
        <w:tc>
          <w:tcPr>
            <w:tcW w:type="dxa" w:w="2400"/>
            <w:shd w:fill="F1EEE7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43000" cy="1143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0"/>
            <w:tcMar>
              <w:left w:type="dxa" w:w="260"/>
            </w:tcMar>
            <w:vAlign w:val="center"/>
          </w:tcPr>
          <w:p>
            <w:pPr>
              <w:spacing w:after="50"/>
            </w:pPr>
            <w:r>
              <w:rPr>
                <w:rFonts w:ascii="Libre Baskerville" w:cs="Libre Baskerville" w:eastAsia="Libre Baskerville" w:hAnsi="Libre Baskerville"/>
                <w:b/>
                <w:bCs/>
                <w:color w:val="0E3B2E"/>
                <w:sz w:val="22"/>
                <w:szCs w:val="22"/>
              </w:rPr>
              <w:t xml:space="preserve">Monochrome black</w:t>
            </w:r>
          </w:p>
          <w:p>
            <w:r>
              <w:rPr>
                <w:rFonts w:ascii="Inter" w:cs="Inter" w:eastAsia="Inter" w:hAnsi="Inter"/>
                <w:color w:val="1C2B25"/>
                <w:sz w:val="18"/>
                <w:szCs w:val="18"/>
              </w:rPr>
              <w:t xml:space="preserve">Single-colour black. For fax, engraving, embossing, and single-ink print.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CellMar>
          <w:bottom w:type="dxa" w:w="160"/>
        </w:tblCellMar>
      </w:tblPr>
      <w:tblGrid>
        <w:gridCol w:w="2400"/>
        <w:gridCol w:w="7200"/>
      </w:tblGrid>
      <w:tr>
        <w:tc>
          <w:tcPr>
            <w:tcW w:type="dxa" w:w="2400"/>
            <w:shd w:fill="0E3B2E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43000" cy="1143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0"/>
            <w:tcMar>
              <w:left w:type="dxa" w:w="260"/>
            </w:tcMar>
            <w:vAlign w:val="center"/>
          </w:tcPr>
          <w:p>
            <w:pPr>
              <w:spacing w:after="50"/>
            </w:pPr>
            <w:r>
              <w:rPr>
                <w:rFonts w:ascii="Libre Baskerville" w:cs="Libre Baskerville" w:eastAsia="Libre Baskerville" w:hAnsi="Libre Baskerville"/>
                <w:b/>
                <w:bCs/>
                <w:color w:val="0E3B2E"/>
                <w:sz w:val="22"/>
                <w:szCs w:val="22"/>
              </w:rPr>
              <w:t xml:space="preserve">Monochrome white</w:t>
            </w:r>
          </w:p>
          <w:p>
            <w:r>
              <w:rPr>
                <w:rFonts w:ascii="Inter" w:cs="Inter" w:eastAsia="Inter" w:hAnsi="Inter"/>
                <w:color w:val="1C2B25"/>
                <w:sz w:val="18"/>
                <w:szCs w:val="18"/>
              </w:rPr>
              <w:t xml:space="preserve">Single-colour white. For dark single-ink applications and overprinting.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Inter" w:cs="Inter" w:eastAsia="Inter" w:hAnsi="Inter"/>
          <w:b/>
          <w:bCs/>
          <w:color w:val="C7A25A"/>
          <w:spacing w:val="60"/>
          <w:sz w:val="16"/>
          <w:szCs w:val="16"/>
        </w:rPr>
        <w:t xml:space="preserve">07 — LOCKUPS</w:t>
      </w:r>
    </w:p>
    <w:p>
      <w:pPr>
        <w:pStyle w:val="Heading1"/>
        <w:spacing w:after="160" w:before="120"/>
      </w:pPr>
      <w:r>
        <w:rPr>
          <w:rFonts w:ascii="Libre Baskerville" w:cs="Libre Baskerville" w:eastAsia="Libre Baskerville" w:hAnsi="Libre Baskerville"/>
          <w:b/>
          <w:bCs/>
          <w:color w:val="0E3B2E"/>
          <w:sz w:val="40"/>
          <w:szCs w:val="40"/>
        </w:rPr>
        <w:t xml:space="preserve">Lockups</w:t>
      </w:r>
    </w:p>
    <w:p>
      <w:pPr>
        <w:spacing w:after="140" w:line="300"/>
      </w:pPr>
      <w:r>
        <w:rPr>
          <w:rFonts w:ascii="Inter" w:cs="Inter" w:eastAsia="Inter" w:hAnsi="Inter"/>
          <w:color w:val="1C2B25"/>
          <w:sz w:val="20"/>
          <w:szCs w:val="20"/>
        </w:rPr>
        <w:t xml:space="preserve">When the mark appears with the name, use an approved lockup. The wordmark is set in Libre Baskerville, letterspaced; the descriptor line is set in Inter, widely tracked. Spacing between icon and wordmark is fixed within each file — never re-space, re-typeset or substitute the wordmark.</w:t>
      </w:r>
    </w:p>
    <w:p>
      <w:pPr>
        <w:spacing w:after="100" w:before="260"/>
      </w:pPr>
      <w:r>
        <w:rPr>
          <w:rFonts w:ascii="Libre Baskerville" w:cs="Libre Baskerville" w:eastAsia="Libre Baskerville" w:hAnsi="Libre Baskerville"/>
          <w:b/>
          <w:bCs/>
          <w:color w:val="0E3B2E"/>
          <w:sz w:val="26"/>
          <w:szCs w:val="26"/>
        </w:rPr>
        <w:t xml:space="preserve">Horizontal lockup</w:t>
      </w:r>
    </w:p>
    <w:p>
      <w:pPr>
        <w:spacing w:after="20"/>
        <w:jc w:val="center"/>
      </w:pPr>
      <w:r>
        <w:drawing>
          <wp:inline distT="0" distB="0" distL="0" distR="0">
            <wp:extent cx="4191000" cy="1552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Inter" w:cs="Inter" w:eastAsia="Inter" w:hAnsi="Inter"/>
          <w:color w:val="6B6B62"/>
          <w:sz w:val="16"/>
          <w:szCs w:val="16"/>
        </w:rPr>
        <w:t xml:space="preserve">Horizontal lockup with descriptor — the primary signature for headers, letterheads and wide formats.</w:t>
      </w:r>
    </w:p>
    <w:p>
      <w:pPr>
        <w:spacing w:after="100" w:before="260"/>
      </w:pPr>
      <w:r>
        <w:rPr>
          <w:rFonts w:ascii="Libre Baskerville" w:cs="Libre Baskerville" w:eastAsia="Libre Baskerville" w:hAnsi="Libre Baskerville"/>
          <w:b/>
          <w:bCs/>
          <w:color w:val="0E3B2E"/>
          <w:sz w:val="26"/>
          <w:szCs w:val="26"/>
        </w:rPr>
        <w:t xml:space="preserve">Stacked lockup</w:t>
      </w:r>
    </w:p>
    <w:p>
      <w:pPr>
        <w:spacing w:after="20"/>
        <w:jc w:val="center"/>
      </w:pPr>
      <w:r>
        <w:drawing>
          <wp:inline distT="0" distB="0" distL="0" distR="0">
            <wp:extent cx="2857500" cy="2781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Inter" w:cs="Inter" w:eastAsia="Inter" w:hAnsi="Inter"/>
          <w:color w:val="6B6B62"/>
          <w:sz w:val="16"/>
          <w:szCs w:val="16"/>
        </w:rPr>
        <w:t xml:space="preserve">Stacked lockup with descriptor — for square and centred formats, signage and social avatars.</w:t>
      </w:r>
    </w:p>
    <w:p>
      <w:r>
        <w:br w:type="page"/>
      </w:r>
    </w:p>
    <w:p>
      <w:pPr>
        <w:spacing w:after="40"/>
      </w:pPr>
      <w:r>
        <w:rPr>
          <w:rFonts w:ascii="Inter" w:cs="Inter" w:eastAsia="Inter" w:hAnsi="Inter"/>
          <w:b/>
          <w:bCs/>
          <w:color w:val="C7A25A"/>
          <w:spacing w:val="60"/>
          <w:sz w:val="16"/>
          <w:szCs w:val="16"/>
        </w:rPr>
        <w:t xml:space="preserve">07 — LOCKUPS</w:t>
      </w:r>
    </w:p>
    <w:p>
      <w:pPr>
        <w:pStyle w:val="Heading1"/>
        <w:spacing w:after="160" w:before="120"/>
      </w:pPr>
      <w:r>
        <w:rPr>
          <w:rFonts w:ascii="Libre Baskerville" w:cs="Libre Baskerville" w:eastAsia="Libre Baskerville" w:hAnsi="Libre Baskerville"/>
          <w:b/>
          <w:bCs/>
          <w:color w:val="0E3B2E"/>
          <w:sz w:val="40"/>
          <w:szCs w:val="40"/>
        </w:rPr>
        <w:t xml:space="preserve">Reversed lockups</w:t>
      </w:r>
    </w:p>
    <w:p>
      <w:pPr>
        <w:spacing w:after="140" w:line="300"/>
      </w:pPr>
      <w:r>
        <w:rPr>
          <w:rFonts w:ascii="Inter" w:cs="Inter" w:eastAsia="Inter" w:hAnsi="Inter"/>
          <w:color w:val="1C2B25"/>
          <w:sz w:val="20"/>
          <w:szCs w:val="20"/>
        </w:rPr>
        <w:t xml:space="preserve">On emerald and dark backgrounds, use the reversed lockups. The mark becomes ivory and the wordmark reverses to ivory for full contrast.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shd w:fill="0E3B2E" w:val="clear"/>
            <w:tcMar>
              <w:top w:type="dxa" w:w="300"/>
              <w:left w:type="dxa" w:w="300"/>
              <w:bottom w:type="dxa" w:w="300"/>
              <w:right w:type="dxa" w:w="3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3619500" cy="1343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134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</w:pPr>
      <w:r>
        <w:rPr>
          <w:rFonts w:ascii="Inter" w:cs="Inter" w:eastAsia="Inter" w:hAnsi="Inter"/>
          <w:color w:val="6B6B62"/>
          <w:sz w:val="16"/>
          <w:szCs w:val="16"/>
        </w:rPr>
        <w:t xml:space="preserve">Horizontal lockup, reversed — on Deep Emerald.</w:t>
      </w:r>
    </w:p>
    <w:p>
      <w:pPr>
        <w:spacing w:after="6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shd w:fill="0E3B2E" w:val="clear"/>
            <w:tcMar>
              <w:top w:type="dxa" w:w="300"/>
              <w:left w:type="dxa" w:w="300"/>
              <w:bottom w:type="dxa" w:w="300"/>
              <w:right w:type="dxa" w:w="30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381250" cy="1571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</w:pPr>
      <w:r>
        <w:rPr>
          <w:rFonts w:ascii="Inter" w:cs="Inter" w:eastAsia="Inter" w:hAnsi="Inter"/>
          <w:color w:val="6B6B62"/>
          <w:sz w:val="16"/>
          <w:szCs w:val="16"/>
        </w:rPr>
        <w:t xml:space="preserve">Stacked lockup, reversed — on Deep Emerald.</w:t>
      </w:r>
    </w:p>
    <w:p>
      <w:r>
        <w:br w:type="page"/>
      </w:r>
    </w:p>
    <w:p>
      <w:pPr>
        <w:spacing w:after="40"/>
      </w:pPr>
      <w:r>
        <w:rPr>
          <w:rFonts w:ascii="Inter" w:cs="Inter" w:eastAsia="Inter" w:hAnsi="Inter"/>
          <w:b/>
          <w:bCs/>
          <w:color w:val="C7A25A"/>
          <w:spacing w:val="60"/>
          <w:sz w:val="16"/>
          <w:szCs w:val="16"/>
        </w:rPr>
        <w:t xml:space="preserve">08 — COLOUR</w:t>
      </w:r>
    </w:p>
    <w:p>
      <w:pPr>
        <w:pStyle w:val="Heading1"/>
        <w:spacing w:after="160" w:before="120"/>
      </w:pPr>
      <w:r>
        <w:rPr>
          <w:rFonts w:ascii="Libre Baskerville" w:cs="Libre Baskerville" w:eastAsia="Libre Baskerville" w:hAnsi="Libre Baskerville"/>
          <w:b/>
          <w:bCs/>
          <w:color w:val="0E3B2E"/>
          <w:sz w:val="40"/>
          <w:szCs w:val="40"/>
        </w:rPr>
        <w:t xml:space="preserve">Colour</w:t>
      </w:r>
    </w:p>
    <w:p>
      <w:pPr>
        <w:spacing w:after="140" w:line="300"/>
      </w:pPr>
      <w:r>
        <w:rPr>
          <w:rFonts w:ascii="Inter" w:cs="Inter" w:eastAsia="Inter" w:hAnsi="Inter"/>
          <w:color w:val="1C2B25"/>
          <w:sz w:val="20"/>
          <w:szCs w:val="20"/>
        </w:rPr>
        <w:t xml:space="preserve">Three colours carry the entire identity. They are used with discipline: emerald dominates, ivory provides ground and air, and gold is reserved for a single point of emphasis. Gold is an accent, never a fill — it should feel scarce.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200"/>
        <w:gridCol w:w="3200"/>
        <w:gridCol w:w="320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40"/>
              <w:right w:type="dxa" w:w="4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428750" cy="952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40"/>
              <w:right w:type="dxa" w:w="4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428750" cy="952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40"/>
              <w:right w:type="dxa" w:w="4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428750" cy="952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2000"/>
        <w:gridCol w:w="2200"/>
        <w:gridCol w:w="1300"/>
      </w:tblGrid>
      <w:tr>
        <w:trPr>
          <w:tblHeader/>
        </w:trPr>
        <w:tc>
          <w:tcPr>
            <w:tcW w:type="dxa" w:w="2400"/>
            <w:shd w:fill="0E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6F3EE"/>
                <w:sz w:val="16"/>
                <w:szCs w:val="16"/>
              </w:rPr>
              <w:t xml:space="preserve">Colour</w:t>
            </w:r>
          </w:p>
        </w:tc>
        <w:tc>
          <w:tcPr>
            <w:tcW w:type="dxa" w:w="1700"/>
            <w:shd w:fill="0E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6F3EE"/>
                <w:sz w:val="16"/>
                <w:szCs w:val="16"/>
              </w:rPr>
              <w:t xml:space="preserve">HEX</w:t>
            </w:r>
          </w:p>
        </w:tc>
        <w:tc>
          <w:tcPr>
            <w:tcW w:type="dxa" w:w="2000"/>
            <w:shd w:fill="0E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6F3EE"/>
                <w:sz w:val="16"/>
                <w:szCs w:val="16"/>
              </w:rPr>
              <w:t xml:space="preserve">RGB</w:t>
            </w:r>
          </w:p>
        </w:tc>
        <w:tc>
          <w:tcPr>
            <w:tcW w:type="dxa" w:w="2200"/>
            <w:shd w:fill="0E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6F3EE"/>
                <w:sz w:val="16"/>
                <w:szCs w:val="16"/>
              </w:rPr>
              <w:t xml:space="preserve">CMYK</w:t>
            </w:r>
          </w:p>
        </w:tc>
        <w:tc>
          <w:tcPr>
            <w:tcW w:type="dxa" w:w="1300"/>
            <w:shd w:fill="0E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6F3EE"/>
                <w:sz w:val="16"/>
                <w:szCs w:val="16"/>
              </w:rPr>
              <w:t xml:space="preserve">Role</w:t>
            </w:r>
          </w:p>
        </w:tc>
      </w:tr>
      <w:tr>
        <w:tc>
          <w:tcPr>
            <w:tcW w:type="dxa" w:w="2400"/>
            <w:shd w:fill="F1EE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1C2B25"/>
                <w:sz w:val="16"/>
                <w:szCs w:val="16"/>
              </w:rPr>
              <w:t xml:space="preserve">Deep Emerald</w:t>
            </w:r>
          </w:p>
        </w:tc>
        <w:tc>
          <w:tcPr>
            <w:tcW w:type="dxa" w:w="1700"/>
            <w:shd w:fill="F1EE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2B25"/>
                <w:sz w:val="16"/>
                <w:szCs w:val="16"/>
              </w:rPr>
              <w:t xml:space="preserve">#0E3B2E</w:t>
            </w:r>
          </w:p>
        </w:tc>
        <w:tc>
          <w:tcPr>
            <w:tcW w:type="dxa" w:w="2000"/>
            <w:shd w:fill="F1EE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2B25"/>
                <w:sz w:val="16"/>
                <w:szCs w:val="16"/>
              </w:rPr>
              <w:t xml:space="preserve">14 · 59 · 46</w:t>
            </w:r>
          </w:p>
        </w:tc>
        <w:tc>
          <w:tcPr>
            <w:tcW w:type="dxa" w:w="2200"/>
            <w:shd w:fill="F1EE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2B25"/>
                <w:sz w:val="16"/>
                <w:szCs w:val="16"/>
              </w:rPr>
              <w:t xml:space="preserve">84 · 45 · 68 · 52</w:t>
            </w:r>
          </w:p>
        </w:tc>
        <w:tc>
          <w:tcPr>
            <w:tcW w:type="dxa" w:w="1300"/>
            <w:shd w:fill="F1EE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2B25"/>
                <w:sz w:val="16"/>
                <w:szCs w:val="16"/>
              </w:rPr>
              <w:t xml:space="preserve">Primary / ground</w:t>
            </w:r>
          </w:p>
        </w:tc>
      </w:tr>
      <w:tr>
        <w:tc>
          <w:tcPr>
            <w:tcW w:type="dxa" w:w="2400"/>
            <w:shd w:fill="FB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1C2B25"/>
                <w:sz w:val="16"/>
                <w:szCs w:val="16"/>
              </w:rPr>
              <w:t xml:space="preserve">Antique Gold</w:t>
            </w:r>
          </w:p>
        </w:tc>
        <w:tc>
          <w:tcPr>
            <w:tcW w:type="dxa" w:w="1700"/>
            <w:shd w:fill="FB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2B25"/>
                <w:sz w:val="16"/>
                <w:szCs w:val="16"/>
              </w:rPr>
              <w:t xml:space="preserve">#C7A25A</w:t>
            </w:r>
          </w:p>
        </w:tc>
        <w:tc>
          <w:tcPr>
            <w:tcW w:type="dxa" w:w="2000"/>
            <w:shd w:fill="FB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2B25"/>
                <w:sz w:val="16"/>
                <w:szCs w:val="16"/>
              </w:rPr>
              <w:t xml:space="preserve">199 · 162 · 90</w:t>
            </w:r>
          </w:p>
        </w:tc>
        <w:tc>
          <w:tcPr>
            <w:tcW w:type="dxa" w:w="2200"/>
            <w:shd w:fill="FB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2B25"/>
                <w:sz w:val="16"/>
                <w:szCs w:val="16"/>
              </w:rPr>
              <w:t xml:space="preserve">22 · 34 · 72 · 3</w:t>
            </w:r>
          </w:p>
        </w:tc>
        <w:tc>
          <w:tcPr>
            <w:tcW w:type="dxa" w:w="1300"/>
            <w:shd w:fill="FB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2B25"/>
                <w:sz w:val="16"/>
                <w:szCs w:val="16"/>
              </w:rPr>
              <w:t xml:space="preserve">Accent only</w:t>
            </w:r>
          </w:p>
        </w:tc>
      </w:tr>
      <w:tr>
        <w:tc>
          <w:tcPr>
            <w:tcW w:type="dxa" w:w="2400"/>
            <w:shd w:fill="F1EE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1C2B25"/>
                <w:sz w:val="16"/>
                <w:szCs w:val="16"/>
              </w:rPr>
              <w:t xml:space="preserve">Warm Ivory</w:t>
            </w:r>
          </w:p>
        </w:tc>
        <w:tc>
          <w:tcPr>
            <w:tcW w:type="dxa" w:w="1700"/>
            <w:shd w:fill="F1EE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2B25"/>
                <w:sz w:val="16"/>
                <w:szCs w:val="16"/>
              </w:rPr>
              <w:t xml:space="preserve">#F6F3EE</w:t>
            </w:r>
          </w:p>
        </w:tc>
        <w:tc>
          <w:tcPr>
            <w:tcW w:type="dxa" w:w="2000"/>
            <w:shd w:fill="F1EE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2B25"/>
                <w:sz w:val="16"/>
                <w:szCs w:val="16"/>
              </w:rPr>
              <w:t xml:space="preserve">246 · 243 · 238</w:t>
            </w:r>
          </w:p>
        </w:tc>
        <w:tc>
          <w:tcPr>
            <w:tcW w:type="dxa" w:w="2200"/>
            <w:shd w:fill="F1EE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2B25"/>
                <w:sz w:val="16"/>
                <w:szCs w:val="16"/>
              </w:rPr>
              <w:t xml:space="preserve">3 · 3 · 6 · 0</w:t>
            </w:r>
          </w:p>
        </w:tc>
        <w:tc>
          <w:tcPr>
            <w:tcW w:type="dxa" w:w="1300"/>
            <w:shd w:fill="F1EE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2B25"/>
                <w:sz w:val="16"/>
                <w:szCs w:val="16"/>
              </w:rPr>
              <w:t xml:space="preserve">Ground / air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Inter" w:cs="Inter" w:eastAsia="Inter" w:hAnsi="Inter"/>
          <w:b/>
          <w:bCs/>
          <w:color w:val="C7A25A"/>
          <w:spacing w:val="60"/>
          <w:sz w:val="16"/>
          <w:szCs w:val="16"/>
        </w:rPr>
        <w:t xml:space="preserve">09 — TYPOGRAPHY</w:t>
      </w:r>
    </w:p>
    <w:p>
      <w:pPr>
        <w:pStyle w:val="Heading1"/>
        <w:spacing w:after="160" w:before="120"/>
      </w:pPr>
      <w:r>
        <w:rPr>
          <w:rFonts w:ascii="Libre Baskerville" w:cs="Libre Baskerville" w:eastAsia="Libre Baskerville" w:hAnsi="Libre Baskerville"/>
          <w:b/>
          <w:bCs/>
          <w:color w:val="0E3B2E"/>
          <w:sz w:val="40"/>
          <w:szCs w:val="40"/>
        </w:rPr>
        <w:t xml:space="preserve">Typography</w:t>
      </w:r>
    </w:p>
    <w:p>
      <w:pPr>
        <w:spacing w:after="140" w:line="300"/>
      </w:pPr>
      <w:r>
        <w:rPr>
          <w:rFonts w:ascii="Inter" w:cs="Inter" w:eastAsia="Inter" w:hAnsi="Inter"/>
          <w:color w:val="1C2B25"/>
          <w:sz w:val="20"/>
          <w:szCs w:val="20"/>
        </w:rPr>
        <w:t xml:space="preserve">Two typefaces express the brand. Libre Baskerville, a print-rooted serif, carries names, titles and moments of authority. Inter, a precise neutral sans, carries descriptors, labels, body copy and interface text. The pairing signals scholarship and modern clarity at once.</w:t>
      </w:r>
    </w:p>
    <w:p>
      <w:pPr>
        <w:spacing w:after="100" w:before="260"/>
      </w:pPr>
      <w:r>
        <w:rPr>
          <w:rFonts w:ascii="Libre Baskerville" w:cs="Libre Baskerville" w:eastAsia="Libre Baskerville" w:hAnsi="Libre Baskerville"/>
          <w:b/>
          <w:bCs/>
          <w:color w:val="0E3B2E"/>
          <w:sz w:val="26"/>
          <w:szCs w:val="26"/>
        </w:rPr>
        <w:t xml:space="preserve">Libre Baskerville — display &amp; headings</w:t>
      </w:r>
    </w:p>
    <w:p>
      <w:pPr>
        <w:spacing w:after="40"/>
      </w:pPr>
      <w:r>
        <w:rPr>
          <w:rFonts w:ascii="Libre Baskerville" w:cs="Libre Baskerville" w:eastAsia="Libre Baskerville" w:hAnsi="Libre Baskerville"/>
          <w:color w:val="0E3B2E"/>
          <w:sz w:val="56"/>
          <w:szCs w:val="56"/>
        </w:rPr>
        <w:t xml:space="preserve">Aa Bb Cc Dd Ee Ff Gg</w:t>
      </w:r>
    </w:p>
    <w:p>
      <w:pPr>
        <w:spacing w:after="40"/>
      </w:pPr>
      <w:r>
        <w:rPr>
          <w:rFonts w:ascii="Libre Baskerville" w:cs="Libre Baskerville" w:eastAsia="Libre Baskerville" w:hAnsi="Libre Baskerville"/>
          <w:b/>
          <w:bCs/>
          <w:color w:val="0E3B2E"/>
          <w:spacing w:val="40"/>
          <w:sz w:val="30"/>
          <w:szCs w:val="30"/>
        </w:rPr>
        <w:t xml:space="preserve">SUNNAH REMEDIES</w:t>
      </w:r>
    </w:p>
    <w:p>
      <w:pPr>
        <w:spacing w:after="60"/>
      </w:pPr>
      <w:r>
        <w:rPr>
          <w:rFonts w:ascii="Inter" w:cs="Inter" w:eastAsia="Inter" w:hAnsi="Inter"/>
          <w:color w:val="6B6B62"/>
          <w:sz w:val="16"/>
          <w:szCs w:val="16"/>
        </w:rPr>
        <w:t xml:space="preserve">Used for the wordmark, headlines and titles. Set letterspaced in caps for the wordmark; sentence case for headings.</w:t>
      </w:r>
    </w:p>
    <w:p>
      <w:pPr>
        <w:spacing w:after="100" w:before="260"/>
      </w:pPr>
      <w:r>
        <w:rPr>
          <w:rFonts w:ascii="Libre Baskerville" w:cs="Libre Baskerville" w:eastAsia="Libre Baskerville" w:hAnsi="Libre Baskerville"/>
          <w:b/>
          <w:bCs/>
          <w:color w:val="0E3B2E"/>
          <w:sz w:val="26"/>
          <w:szCs w:val="26"/>
        </w:rPr>
        <w:t xml:space="preserve">Inter — descriptor, labels &amp; body</w:t>
      </w:r>
    </w:p>
    <w:p>
      <w:pPr>
        <w:spacing w:after="40"/>
      </w:pPr>
      <w:r>
        <w:rPr>
          <w:rFonts w:ascii="Inter" w:cs="Inter" w:eastAsia="Inter" w:hAnsi="Inter"/>
          <w:color w:val="1C2B25"/>
          <w:sz w:val="44"/>
          <w:szCs w:val="44"/>
        </w:rPr>
        <w:t xml:space="preserve">Aa Bb Cc Dd Ee Ff Gg</w:t>
      </w:r>
    </w:p>
    <w:p>
      <w:pPr>
        <w:spacing w:after="40"/>
      </w:pPr>
      <w:r>
        <w:rPr>
          <w:rFonts w:ascii="Inter" w:cs="Inter" w:eastAsia="Inter" w:hAnsi="Inter"/>
          <w:color w:val="6B6B62"/>
          <w:spacing w:val="120"/>
          <w:sz w:val="18"/>
          <w:szCs w:val="18"/>
        </w:rPr>
        <w:t xml:space="preserve">INSTITUTE OF PROPHETIC MEDICINE</w:t>
      </w:r>
    </w:p>
    <w:p>
      <w:pPr>
        <w:spacing w:after="60"/>
      </w:pPr>
      <w:r>
        <w:rPr>
          <w:rFonts w:ascii="Inter" w:cs="Inter" w:eastAsia="Inter" w:hAnsi="Inter"/>
          <w:color w:val="6B6B62"/>
          <w:sz w:val="16"/>
          <w:szCs w:val="16"/>
        </w:rPr>
        <w:t xml:space="preserve">Used for the descriptor line (widely tracked, uppercase), captions, labels and all running body text.</w:t>
      </w:r>
    </w:p>
    <w:p>
      <w:r>
        <w:br w:type="page"/>
      </w:r>
    </w:p>
    <w:p>
      <w:pPr>
        <w:spacing w:after="40"/>
      </w:pPr>
      <w:r>
        <w:rPr>
          <w:rFonts w:ascii="Inter" w:cs="Inter" w:eastAsia="Inter" w:hAnsi="Inter"/>
          <w:b/>
          <w:bCs/>
          <w:color w:val="C7A25A"/>
          <w:spacing w:val="60"/>
          <w:sz w:val="16"/>
          <w:szCs w:val="16"/>
        </w:rPr>
        <w:t xml:space="preserve">10 — BACKGROUNDS &amp; PLACEMENT</w:t>
      </w:r>
    </w:p>
    <w:p>
      <w:pPr>
        <w:pStyle w:val="Heading1"/>
        <w:spacing w:after="160" w:before="120"/>
      </w:pPr>
      <w:r>
        <w:rPr>
          <w:rFonts w:ascii="Libre Baskerville" w:cs="Libre Baskerville" w:eastAsia="Libre Baskerville" w:hAnsi="Libre Baskerville"/>
          <w:b/>
          <w:bCs/>
          <w:color w:val="0E3B2E"/>
          <w:sz w:val="40"/>
          <w:szCs w:val="40"/>
        </w:rPr>
        <w:t xml:space="preserve">Backgrounds &amp; placement</w:t>
      </w:r>
    </w:p>
    <w:p>
      <w:pPr>
        <w:spacing w:after="140" w:line="300"/>
      </w:pPr>
      <w:r>
        <w:rPr>
          <w:rFonts w:ascii="Inter" w:cs="Inter" w:eastAsia="Inter" w:hAnsi="Inter"/>
          <w:color w:val="1C2B25"/>
          <w:sz w:val="20"/>
          <w:szCs w:val="20"/>
        </w:rPr>
        <w:t xml:space="preserve">The mark must always sit on a background that gives it clear, comfortable contrast. Use the table below to choose the correct variation for the surface.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00"/>
      </w:tblGrid>
      <w:tr>
        <w:trPr>
          <w:tblHeader/>
        </w:trPr>
        <w:tc>
          <w:tcPr>
            <w:tcW w:type="dxa" w:w="3400"/>
            <w:shd w:fill="0E3B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6F3EE"/>
                <w:sz w:val="18"/>
                <w:szCs w:val="18"/>
              </w:rPr>
              <w:t xml:space="preserve">Background</w:t>
            </w:r>
          </w:p>
        </w:tc>
        <w:tc>
          <w:tcPr>
            <w:tcW w:type="dxa" w:w="6200"/>
            <w:shd w:fill="0E3B2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6F3EE"/>
                <w:sz w:val="18"/>
                <w:szCs w:val="18"/>
              </w:rPr>
              <w:t xml:space="preserve">Approved variation</w:t>
            </w:r>
          </w:p>
        </w:tc>
      </w:tr>
      <w:tr>
        <w:tc>
          <w:tcPr>
            <w:tcW w:type="dxa" w:w="3400"/>
            <w:shd w:fill="F1EEE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0E3B2E"/>
                <w:sz w:val="18"/>
                <w:szCs w:val="18"/>
              </w:rPr>
              <w:t xml:space="preserve">Deep Emerald</w:t>
            </w:r>
          </w:p>
        </w:tc>
        <w:tc>
          <w:tcPr>
            <w:tcW w:type="dxa" w:w="6200"/>
            <w:shd w:fill="F1EEE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color w:val="1C2B25"/>
                <w:sz w:val="18"/>
                <w:szCs w:val="18"/>
              </w:rPr>
              <w:t xml:space="preserve">Primary (full colour) or reversed ivory</w:t>
            </w:r>
          </w:p>
        </w:tc>
      </w:tr>
      <w:tr>
        <w:tc>
          <w:tcPr>
            <w:tcW w:type="dxa" w:w="3400"/>
            <w:shd w:fill="FBFA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0E3B2E"/>
                <w:sz w:val="18"/>
                <w:szCs w:val="18"/>
              </w:rPr>
              <w:t xml:space="preserve">Warm Ivory / white</w:t>
            </w:r>
          </w:p>
        </w:tc>
        <w:tc>
          <w:tcPr>
            <w:tcW w:type="dxa" w:w="6200"/>
            <w:shd w:fill="FBFA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color w:val="1C2B25"/>
                <w:sz w:val="18"/>
                <w:szCs w:val="18"/>
              </w:rPr>
              <w:t xml:space="preserve">Single-colour emerald, or two-colour on light</w:t>
            </w:r>
          </w:p>
        </w:tc>
      </w:tr>
      <w:tr>
        <w:tc>
          <w:tcPr>
            <w:tcW w:type="dxa" w:w="3400"/>
            <w:shd w:fill="F1EEE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0E3B2E"/>
                <w:sz w:val="18"/>
                <w:szCs w:val="18"/>
              </w:rPr>
              <w:t xml:space="preserve">Mid / dark photography</w:t>
            </w:r>
          </w:p>
        </w:tc>
        <w:tc>
          <w:tcPr>
            <w:tcW w:type="dxa" w:w="6200"/>
            <w:shd w:fill="F1EEE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color w:val="1C2B25"/>
                <w:sz w:val="18"/>
                <w:szCs w:val="18"/>
              </w:rPr>
              <w:t xml:space="preserve">Reversed ivory, or emerald holding panel</w:t>
            </w:r>
          </w:p>
        </w:tc>
      </w:tr>
      <w:tr>
        <w:tc>
          <w:tcPr>
            <w:tcW w:type="dxa" w:w="3400"/>
            <w:shd w:fill="FBFA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0E3B2E"/>
                <w:sz w:val="18"/>
                <w:szCs w:val="18"/>
              </w:rPr>
              <w:t xml:space="preserve">Single-ink light</w:t>
            </w:r>
          </w:p>
        </w:tc>
        <w:tc>
          <w:tcPr>
            <w:tcW w:type="dxa" w:w="6200"/>
            <w:shd w:fill="FBFA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color w:val="1C2B25"/>
                <w:sz w:val="18"/>
                <w:szCs w:val="18"/>
              </w:rPr>
              <w:t xml:space="preserve">Monochrome black</w:t>
            </w:r>
          </w:p>
        </w:tc>
      </w:tr>
      <w:tr>
        <w:tc>
          <w:tcPr>
            <w:tcW w:type="dxa" w:w="3400"/>
            <w:shd w:fill="F1EEE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0E3B2E"/>
                <w:sz w:val="18"/>
                <w:szCs w:val="18"/>
              </w:rPr>
              <w:t xml:space="preserve">Single-ink dark</w:t>
            </w:r>
          </w:p>
        </w:tc>
        <w:tc>
          <w:tcPr>
            <w:tcW w:type="dxa" w:w="6200"/>
            <w:shd w:fill="F1EEE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color w:val="1C2B25"/>
                <w:sz w:val="18"/>
                <w:szCs w:val="18"/>
              </w:rPr>
              <w:t xml:space="preserve">Monochrome white</w:t>
            </w:r>
          </w:p>
        </w:tc>
      </w:tr>
    </w:tbl>
    <w:p>
      <w:pPr>
        <w:pBdr>
          <w:bottom w:val="single" w:color="DDD8CE" w:sz="6" w:space="1"/>
        </w:pBdr>
        <w:spacing w:after="160" w:before="60"/>
      </w:pPr>
    </w:p>
    <w:p>
      <w:pPr>
        <w:spacing w:after="140" w:line="300"/>
      </w:pPr>
      <w:r>
        <w:rPr>
          <w:rFonts w:ascii="Inter" w:cs="Inter" w:eastAsia="Inter" w:hAnsi="Inter"/>
          <w:color w:val="1C2B25"/>
          <w:sz w:val="20"/>
          <w:szCs w:val="20"/>
        </w:rPr>
        <w:t xml:space="preserve">On photography, place the reversed (ivory) mark over a calm, evenly toned area of the image, or set it within a solid emerald holding panel. Never place the mark over a busy or high-contrast region where the arch stroke would break up.</w:t>
      </w:r>
    </w:p>
    <w:p>
      <w:r>
        <w:br w:type="page"/>
      </w:r>
    </w:p>
    <w:p>
      <w:pPr>
        <w:spacing w:after="40"/>
      </w:pPr>
      <w:r>
        <w:rPr>
          <w:rFonts w:ascii="Inter" w:cs="Inter" w:eastAsia="Inter" w:hAnsi="Inter"/>
          <w:b/>
          <w:bCs/>
          <w:color w:val="C7A25A"/>
          <w:spacing w:val="60"/>
          <w:sz w:val="16"/>
          <w:szCs w:val="16"/>
        </w:rPr>
        <w:t xml:space="preserve">11 — MISUSE</w:t>
      </w:r>
    </w:p>
    <w:p>
      <w:pPr>
        <w:pStyle w:val="Heading1"/>
        <w:spacing w:after="160" w:before="120"/>
      </w:pPr>
      <w:r>
        <w:rPr>
          <w:rFonts w:ascii="Libre Baskerville" w:cs="Libre Baskerville" w:eastAsia="Libre Baskerville" w:hAnsi="Libre Baskerville"/>
          <w:b/>
          <w:bCs/>
          <w:color w:val="0E3B2E"/>
          <w:sz w:val="40"/>
          <w:szCs w:val="40"/>
        </w:rPr>
        <w:t xml:space="preserve">What never to do</w:t>
      </w:r>
    </w:p>
    <w:p>
      <w:pPr>
        <w:spacing w:after="140" w:line="300"/>
      </w:pPr>
      <w:r>
        <w:rPr>
          <w:rFonts w:ascii="Inter" w:cs="Inter" w:eastAsia="Inter" w:hAnsi="Inter"/>
          <w:color w:val="1C2B25"/>
          <w:sz w:val="20"/>
          <w:szCs w:val="20"/>
        </w:rPr>
        <w:t xml:space="preserve">The mark's authority depends on absolute consistency. The following are prohibited without exception.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00"/>
        <w:gridCol w:w="4800"/>
      </w:tblGrid>
      <w:tr>
        <w:tc>
          <w:tcPr>
            <w:tcW w:type="dxa" w:w="4800"/>
            <w:tcMar>
              <w:top w:type="dxa" w:w="40"/>
              <w:left w:type="dxa" w:w="80"/>
              <w:bottom w:type="dxa" w:w="200"/>
              <w:right w:type="dxa" w:w="80"/>
            </w:tcMar>
            <w:vAlign w:val="top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428750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  <w:jc w:val="center"/>
            </w:pPr>
            <w:r>
              <w:rPr>
                <w:rFonts w:ascii="Libre Baskerville" w:cs="Libre Baskerville" w:eastAsia="Libre Baskerville" w:hAnsi="Libre Baskerville"/>
                <w:b/>
                <w:bCs/>
                <w:color w:val="B23A2E"/>
                <w:sz w:val="19"/>
                <w:szCs w:val="19"/>
              </w:rPr>
              <w:t xml:space="preserve">Don't stretch or distort</w:t>
            </w:r>
          </w:p>
          <w:p>
            <w:pPr>
              <w:jc w:val="center"/>
            </w:pPr>
            <w:r>
              <w:rPr>
                <w:rFonts w:ascii="Inter" w:cs="Inter" w:eastAsia="Inter" w:hAnsi="Inter"/>
                <w:color w:val="6B6B62"/>
                <w:sz w:val="16"/>
                <w:szCs w:val="16"/>
              </w:rPr>
              <w:t xml:space="preserve">Never scale disproportionately. Constrain proportions always.</w:t>
            </w:r>
          </w:p>
        </w:tc>
        <w:tc>
          <w:tcPr>
            <w:tcW w:type="dxa" w:w="4800"/>
            <w:tcMar>
              <w:top w:type="dxa" w:w="40"/>
              <w:left w:type="dxa" w:w="80"/>
              <w:bottom w:type="dxa" w:w="200"/>
              <w:right w:type="dxa" w:w="80"/>
            </w:tcMar>
            <w:vAlign w:val="top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428750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  <w:jc w:val="center"/>
            </w:pPr>
            <w:r>
              <w:rPr>
                <w:rFonts w:ascii="Libre Baskerville" w:cs="Libre Baskerville" w:eastAsia="Libre Baskerville" w:hAnsi="Libre Baskerville"/>
                <w:b/>
                <w:bCs/>
                <w:color w:val="B23A2E"/>
                <w:sz w:val="19"/>
                <w:szCs w:val="19"/>
              </w:rPr>
              <w:t xml:space="preserve">Don't recolour</w:t>
            </w:r>
          </w:p>
          <w:p>
            <w:pPr>
              <w:jc w:val="center"/>
            </w:pPr>
            <w:r>
              <w:rPr>
                <w:rFonts w:ascii="Inter" w:cs="Inter" w:eastAsia="Inter" w:hAnsi="Inter"/>
                <w:color w:val="6B6B62"/>
                <w:sz w:val="16"/>
                <w:szCs w:val="16"/>
              </w:rPr>
              <w:t xml:space="preserve">Only the three brand colours. No off-palette fills, gradients or tints.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00"/>
        <w:gridCol w:w="4800"/>
      </w:tblGrid>
      <w:tr>
        <w:tc>
          <w:tcPr>
            <w:tcW w:type="dxa" w:w="4800"/>
            <w:tcMar>
              <w:top w:type="dxa" w:w="40"/>
              <w:left w:type="dxa" w:w="80"/>
              <w:bottom w:type="dxa" w:w="200"/>
              <w:right w:type="dxa" w:w="80"/>
            </w:tcMar>
            <w:vAlign w:val="top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428750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  <w:jc w:val="center"/>
            </w:pPr>
            <w:r>
              <w:rPr>
                <w:rFonts w:ascii="Libre Baskerville" w:cs="Libre Baskerville" w:eastAsia="Libre Baskerville" w:hAnsi="Libre Baskerville"/>
                <w:b/>
                <w:bCs/>
                <w:color w:val="B23A2E"/>
                <w:sz w:val="19"/>
                <w:szCs w:val="19"/>
              </w:rPr>
              <w:t xml:space="preserve">Don't rotate or tilt</w:t>
            </w:r>
          </w:p>
          <w:p>
            <w:pPr>
              <w:jc w:val="center"/>
            </w:pPr>
            <w:r>
              <w:rPr>
                <w:rFonts w:ascii="Inter" w:cs="Inter" w:eastAsia="Inter" w:hAnsi="Inter"/>
                <w:color w:val="6B6B62"/>
                <w:sz w:val="16"/>
                <w:szCs w:val="16"/>
              </w:rPr>
              <w:t xml:space="preserve">The mark sits square and upright. Never rotate, skew or angle it.</w:t>
            </w:r>
          </w:p>
        </w:tc>
        <w:tc>
          <w:tcPr>
            <w:tcW w:type="dxa" w:w="4800"/>
            <w:tcMar>
              <w:top w:type="dxa" w:w="40"/>
              <w:left w:type="dxa" w:w="80"/>
              <w:bottom w:type="dxa" w:w="200"/>
              <w:right w:type="dxa" w:w="80"/>
            </w:tcMar>
            <w:vAlign w:val="top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428750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  <w:jc w:val="center"/>
            </w:pPr>
            <w:r>
              <w:rPr>
                <w:rFonts w:ascii="Libre Baskerville" w:cs="Libre Baskerville" w:eastAsia="Libre Baskerville" w:hAnsi="Libre Baskerville"/>
                <w:b/>
                <w:bCs/>
                <w:color w:val="B23A2E"/>
                <w:sz w:val="19"/>
                <w:szCs w:val="19"/>
              </w:rPr>
              <w:t xml:space="preserve">Don't drop the ivory mark on light</w:t>
            </w:r>
          </w:p>
          <w:p>
            <w:pPr>
              <w:jc w:val="center"/>
            </w:pPr>
            <w:r>
              <w:rPr>
                <w:rFonts w:ascii="Inter" w:cs="Inter" w:eastAsia="Inter" w:hAnsi="Inter"/>
                <w:color w:val="6B6B62"/>
                <w:sz w:val="16"/>
                <w:szCs w:val="16"/>
              </w:rPr>
              <w:t xml:space="preserve">The ivory arch vanishes on pale grounds. Use the emerald single-colour version.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00"/>
        <w:gridCol w:w="4800"/>
      </w:tblGrid>
      <w:tr>
        <w:tc>
          <w:tcPr>
            <w:tcW w:type="dxa" w:w="4800"/>
            <w:tcMar>
              <w:top w:type="dxa" w:w="40"/>
              <w:left w:type="dxa" w:w="80"/>
              <w:bottom w:type="dxa" w:w="200"/>
              <w:right w:type="dxa" w:w="80"/>
            </w:tcMar>
            <w:vAlign w:val="top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428750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  <w:jc w:val="center"/>
            </w:pPr>
            <w:r>
              <w:rPr>
                <w:rFonts w:ascii="Libre Baskerville" w:cs="Libre Baskerville" w:eastAsia="Libre Baskerville" w:hAnsi="Libre Baskerville"/>
                <w:b/>
                <w:bCs/>
                <w:color w:val="B23A2E"/>
                <w:sz w:val="19"/>
                <w:szCs w:val="19"/>
              </w:rPr>
              <w:t xml:space="preserve">Don't place on low contrast</w:t>
            </w:r>
          </w:p>
          <w:p>
            <w:pPr>
              <w:jc w:val="center"/>
            </w:pPr>
            <w:r>
              <w:rPr>
                <w:rFonts w:ascii="Inter" w:cs="Inter" w:eastAsia="Inter" w:hAnsi="Inter"/>
                <w:color w:val="6B6B62"/>
                <w:sz w:val="16"/>
                <w:szCs w:val="16"/>
              </w:rPr>
              <w:t xml:space="preserve">Avoid backgrounds too close in tone to the mark or its field.</w:t>
            </w:r>
          </w:p>
        </w:tc>
        <w:tc>
          <w:tcPr>
            <w:tcW w:type="dxa" w:w="4800"/>
            <w:tcMar>
              <w:top w:type="dxa" w:w="40"/>
              <w:left w:type="dxa" w:w="80"/>
              <w:bottom w:type="dxa" w:w="200"/>
              <w:right w:type="dxa" w:w="80"/>
            </w:tcMar>
            <w:vAlign w:val="top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428750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  <w:jc w:val="center"/>
            </w:pPr>
            <w:r>
              <w:rPr>
                <w:rFonts w:ascii="Libre Baskerville" w:cs="Libre Baskerville" w:eastAsia="Libre Baskerville" w:hAnsi="Libre Baskerville"/>
                <w:b/>
                <w:bCs/>
                <w:color w:val="B23A2E"/>
                <w:sz w:val="19"/>
                <w:szCs w:val="19"/>
              </w:rPr>
              <w:t xml:space="preserve">Don't add effects</w:t>
            </w:r>
          </w:p>
          <w:p>
            <w:pPr>
              <w:jc w:val="center"/>
            </w:pPr>
            <w:r>
              <w:rPr>
                <w:rFonts w:ascii="Inter" w:cs="Inter" w:eastAsia="Inter" w:hAnsi="Inter"/>
                <w:color w:val="6B6B62"/>
                <w:sz w:val="16"/>
                <w:szCs w:val="16"/>
              </w:rPr>
              <w:t xml:space="preserve">No shadows, glows, bevels, outlines or other embellishment.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Inter" w:cs="Inter" w:eastAsia="Inter" w:hAnsi="Inter"/>
          <w:b/>
          <w:bCs/>
          <w:color w:val="C7A25A"/>
          <w:spacing w:val="60"/>
          <w:sz w:val="16"/>
          <w:szCs w:val="16"/>
        </w:rPr>
        <w:t xml:space="preserve">12 — FILE INDEX</w:t>
      </w:r>
    </w:p>
    <w:p>
      <w:pPr>
        <w:pStyle w:val="Heading1"/>
        <w:spacing w:after="160" w:before="120"/>
      </w:pPr>
      <w:r>
        <w:rPr>
          <w:rFonts w:ascii="Libre Baskerville" w:cs="Libre Baskerville" w:eastAsia="Libre Baskerville" w:hAnsi="Libre Baskerville"/>
          <w:b/>
          <w:bCs/>
          <w:color w:val="0E3B2E"/>
          <w:sz w:val="40"/>
          <w:szCs w:val="40"/>
        </w:rPr>
        <w:t xml:space="preserve">File index</w:t>
      </w:r>
    </w:p>
    <w:p>
      <w:pPr>
        <w:spacing w:after="140" w:line="300"/>
      </w:pPr>
      <w:r>
        <w:rPr>
          <w:rFonts w:ascii="Inter" w:cs="Inter" w:eastAsia="Inter" w:hAnsi="Inter"/>
          <w:color w:val="1C2B25"/>
          <w:sz w:val="20"/>
          <w:szCs w:val="20"/>
        </w:rPr>
        <w:t xml:space="preserve">Every asset is supplied as scalable SVG and as a high-resolution PNG. SVG is preferred for all digital and print use; PNG is provided for convenience and for fixed-size interface assets.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00"/>
      </w:tblGrid>
      <w:tr>
        <w:trPr>
          <w:tblHeader/>
        </w:trPr>
        <w:tc>
          <w:tcPr>
            <w:tcW w:type="dxa" w:w="4200"/>
            <w:shd w:fill="0E3B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6F3EE"/>
                <w:sz w:val="17"/>
                <w:szCs w:val="17"/>
              </w:rPr>
              <w:t xml:space="preserve">File</w:t>
            </w:r>
          </w:p>
        </w:tc>
        <w:tc>
          <w:tcPr>
            <w:tcW w:type="dxa" w:w="5400"/>
            <w:shd w:fill="0E3B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6F3EE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4200"/>
            <w:shd w:fill="F1EEE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2B25"/>
                <w:sz w:val="16"/>
                <w:szCs w:val="16"/>
              </w:rPr>
              <w:t xml:space="preserve">icon-primary</w:t>
            </w:r>
          </w:p>
        </w:tc>
        <w:tc>
          <w:tcPr>
            <w:tcW w:type="dxa" w:w="5400"/>
            <w:shd w:fill="F1EEE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2B25"/>
                <w:sz w:val="16"/>
                <w:szCs w:val="16"/>
              </w:rPr>
              <w:t xml:space="preserve">Primary full-colour mark on emerald</w:t>
            </w:r>
          </w:p>
        </w:tc>
      </w:tr>
      <w:tr>
        <w:tc>
          <w:tcPr>
            <w:tcW w:type="dxa" w:w="4200"/>
            <w:shd w:fill="FBFA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2B25"/>
                <w:sz w:val="16"/>
                <w:szCs w:val="16"/>
              </w:rPr>
              <w:t xml:space="preserve">icon-app-rounded</w:t>
            </w:r>
          </w:p>
        </w:tc>
        <w:tc>
          <w:tcPr>
            <w:tcW w:type="dxa" w:w="5400"/>
            <w:shd w:fill="FBFA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2B25"/>
                <w:sz w:val="16"/>
                <w:szCs w:val="16"/>
              </w:rPr>
              <w:t xml:space="preserve">App icon — rounded emerald tile</w:t>
            </w:r>
          </w:p>
        </w:tc>
      </w:tr>
      <w:tr>
        <w:tc>
          <w:tcPr>
            <w:tcW w:type="dxa" w:w="4200"/>
            <w:shd w:fill="F1EEE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2B25"/>
                <w:sz w:val="16"/>
                <w:szCs w:val="16"/>
              </w:rPr>
              <w:t xml:space="preserve">icon-emerald</w:t>
            </w:r>
          </w:p>
        </w:tc>
        <w:tc>
          <w:tcPr>
            <w:tcW w:type="dxa" w:w="5400"/>
            <w:shd w:fill="F1EEE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2B25"/>
                <w:sz w:val="16"/>
                <w:szCs w:val="16"/>
              </w:rPr>
              <w:t xml:space="preserve">Single-colour emerald (light backgrounds)</w:t>
            </w:r>
          </w:p>
        </w:tc>
      </w:tr>
      <w:tr>
        <w:tc>
          <w:tcPr>
            <w:tcW w:type="dxa" w:w="4200"/>
            <w:shd w:fill="FBFA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2B25"/>
                <w:sz w:val="16"/>
                <w:szCs w:val="16"/>
              </w:rPr>
              <w:t xml:space="preserve">icon-ivory-reversed</w:t>
            </w:r>
          </w:p>
        </w:tc>
        <w:tc>
          <w:tcPr>
            <w:tcW w:type="dxa" w:w="5400"/>
            <w:shd w:fill="FBFA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2B25"/>
                <w:sz w:val="16"/>
                <w:szCs w:val="16"/>
              </w:rPr>
              <w:t xml:space="preserve">Reversed ivory (dark backgrounds)</w:t>
            </w:r>
          </w:p>
        </w:tc>
      </w:tr>
      <w:tr>
        <w:tc>
          <w:tcPr>
            <w:tcW w:type="dxa" w:w="4200"/>
            <w:shd w:fill="F1EEE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2B25"/>
                <w:sz w:val="16"/>
                <w:szCs w:val="16"/>
              </w:rPr>
              <w:t xml:space="preserve">icon-emerald-gold</w:t>
            </w:r>
          </w:p>
        </w:tc>
        <w:tc>
          <w:tcPr>
            <w:tcW w:type="dxa" w:w="5400"/>
            <w:shd w:fill="F1EEE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2B25"/>
                <w:sz w:val="16"/>
                <w:szCs w:val="16"/>
              </w:rPr>
              <w:t xml:space="preserve">Two-colour on light</w:t>
            </w:r>
          </w:p>
        </w:tc>
      </w:tr>
      <w:tr>
        <w:tc>
          <w:tcPr>
            <w:tcW w:type="dxa" w:w="4200"/>
            <w:shd w:fill="FBFA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2B25"/>
                <w:sz w:val="16"/>
                <w:szCs w:val="16"/>
              </w:rPr>
              <w:t xml:space="preserve">icon-mono-black</w:t>
            </w:r>
          </w:p>
        </w:tc>
        <w:tc>
          <w:tcPr>
            <w:tcW w:type="dxa" w:w="5400"/>
            <w:shd w:fill="FBFA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2B25"/>
                <w:sz w:val="16"/>
                <w:szCs w:val="16"/>
              </w:rPr>
              <w:t xml:space="preserve">Monochrome black</w:t>
            </w:r>
          </w:p>
        </w:tc>
      </w:tr>
      <w:tr>
        <w:tc>
          <w:tcPr>
            <w:tcW w:type="dxa" w:w="4200"/>
            <w:shd w:fill="F1EEE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2B25"/>
                <w:sz w:val="16"/>
                <w:szCs w:val="16"/>
              </w:rPr>
              <w:t xml:space="preserve">icon-mono-white</w:t>
            </w:r>
          </w:p>
        </w:tc>
        <w:tc>
          <w:tcPr>
            <w:tcW w:type="dxa" w:w="5400"/>
            <w:shd w:fill="F1EEE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2B25"/>
                <w:sz w:val="16"/>
                <w:szCs w:val="16"/>
              </w:rPr>
              <w:t xml:space="preserve">Monochrome white</w:t>
            </w:r>
          </w:p>
        </w:tc>
      </w:tr>
      <w:tr>
        <w:tc>
          <w:tcPr>
            <w:tcW w:type="dxa" w:w="4200"/>
            <w:shd w:fill="FBFA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2B25"/>
                <w:sz w:val="16"/>
                <w:szCs w:val="16"/>
              </w:rPr>
              <w:t xml:space="preserve">favicon</w:t>
            </w:r>
          </w:p>
        </w:tc>
        <w:tc>
          <w:tcPr>
            <w:tcW w:type="dxa" w:w="5400"/>
            <w:shd w:fill="FBFA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2B25"/>
                <w:sz w:val="16"/>
                <w:szCs w:val="16"/>
              </w:rPr>
              <w:t xml:space="preserve">Rounded favicon (16 / 32 / 48 px PNG included)</w:t>
            </w:r>
          </w:p>
        </w:tc>
      </w:tr>
      <w:tr>
        <w:tc>
          <w:tcPr>
            <w:tcW w:type="dxa" w:w="4200"/>
            <w:shd w:fill="F1EEE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2B25"/>
                <w:sz w:val="16"/>
                <w:szCs w:val="16"/>
              </w:rPr>
              <w:t xml:space="preserve">wordmark-emerald / -ivory / -black</w:t>
            </w:r>
          </w:p>
        </w:tc>
        <w:tc>
          <w:tcPr>
            <w:tcW w:type="dxa" w:w="5400"/>
            <w:shd w:fill="F1EEE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2B25"/>
                <w:sz w:val="16"/>
                <w:szCs w:val="16"/>
              </w:rPr>
              <w:t xml:space="preserve">Standalone wordmark, three colourways</w:t>
            </w:r>
          </w:p>
        </w:tc>
      </w:tr>
      <w:tr>
        <w:tc>
          <w:tcPr>
            <w:tcW w:type="dxa" w:w="4200"/>
            <w:shd w:fill="FBFA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2B25"/>
                <w:sz w:val="16"/>
                <w:szCs w:val="16"/>
              </w:rPr>
              <w:t xml:space="preserve">lockup-horizontal-primary / -reversed / -descriptor</w:t>
            </w:r>
          </w:p>
        </w:tc>
        <w:tc>
          <w:tcPr>
            <w:tcW w:type="dxa" w:w="5400"/>
            <w:shd w:fill="FBFAF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2B25"/>
                <w:sz w:val="16"/>
                <w:szCs w:val="16"/>
              </w:rPr>
              <w:t xml:space="preserve">Horizontal signatures</w:t>
            </w:r>
          </w:p>
        </w:tc>
      </w:tr>
      <w:tr>
        <w:tc>
          <w:tcPr>
            <w:tcW w:type="dxa" w:w="4200"/>
            <w:shd w:fill="F1EEE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2B25"/>
                <w:sz w:val="16"/>
                <w:szCs w:val="16"/>
              </w:rPr>
              <w:t xml:space="preserve">lockup-stacked-primary / -reversed / -descriptor</w:t>
            </w:r>
          </w:p>
        </w:tc>
        <w:tc>
          <w:tcPr>
            <w:tcW w:type="dxa" w:w="5400"/>
            <w:shd w:fill="F1EEE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C2B25"/>
                <w:sz w:val="16"/>
                <w:szCs w:val="16"/>
              </w:rPr>
              <w:t xml:space="preserve">Stacked signatures</w:t>
            </w:r>
          </w:p>
        </w:tc>
      </w:tr>
    </w:tbl>
    <w:p>
      <w:pPr>
        <w:pBdr>
          <w:bottom w:val="single" w:color="DDD8CE" w:sz="6" w:space="1"/>
        </w:pBdr>
        <w:spacing w:after="160" w:before="60"/>
      </w:pPr>
    </w:p>
    <w:p>
      <w:pPr>
        <w:spacing w:after="60"/>
      </w:pPr>
      <w:r>
        <w:rPr>
          <w:rFonts w:ascii="Inter" w:cs="Inter" w:eastAsia="Inter" w:hAnsi="Inter"/>
          <w:color w:val="6B6B62"/>
          <w:sz w:val="16"/>
          <w:szCs w:val="16"/>
        </w:rPr>
        <w:t xml:space="preserve">Guidelines version 1.0 · Sunnah Remedies — Institute of Prophetic Medicine · Colours are specified for reference; verify CMYK against a physical proof before production printing.</w:t>
      </w:r>
    </w:p>
    <w:sectPr>
      <w:headerReference w:type="default" r:id="rId7"/>
      <w:footerReference w:type="default" r:id="rId8"/>
      <w:pgSz w:w="12240" w:h="15840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Inter" w:cs="Inter" w:eastAsia="Inter" w:hAnsi="Inter"/>
        <w:color w:val="6B6B62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Inter" w:cs="Inter" w:eastAsia="Inter" w:hAnsi="Inter"/>
        <w:color w:val="B9B4A8"/>
        <w:spacing w:val="40"/>
        <w:sz w:val="13"/>
        <w:szCs w:val="13"/>
      </w:rPr>
      <w:t xml:space="preserve">SUNNAH REMEDIES  ·  BRAND GUIDELINES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C2B25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f837c0b64d3d2db95be24dca9437fa81ce7cb9d.png"/><Relationship Id="rId10" Type="http://schemas.openxmlformats.org/officeDocument/2006/relationships/image" Target="media/78e8a1f9225ce1576676d540f551d1ef6ab36ae7.png"/><Relationship Id="rId11" Type="http://schemas.openxmlformats.org/officeDocument/2006/relationships/image" Target="media/ad5ee0455032d4bc36c7a690c95fcf39555d8810.png"/><Relationship Id="rId12" Type="http://schemas.openxmlformats.org/officeDocument/2006/relationships/image" Target="media/7be49b37a96b170c117bd87b799079d53bbe38c4.png"/><Relationship Id="rId13" Type="http://schemas.openxmlformats.org/officeDocument/2006/relationships/image" Target="media/332b99e6a29cb36e3a2ac8bc7a9577c2cd83d5bf.png"/><Relationship Id="rId14" Type="http://schemas.openxmlformats.org/officeDocument/2006/relationships/image" Target="media/3c63acfb00671d884b528981446dd1918f89c2c9.png"/><Relationship Id="rId15" Type="http://schemas.openxmlformats.org/officeDocument/2006/relationships/image" Target="media/6b1e7033e3e81f1f0c911ef406f865621c6f11e8.png"/><Relationship Id="rId16" Type="http://schemas.openxmlformats.org/officeDocument/2006/relationships/image" Target="media/9ecf48359f242e37d1a13e041e05451341bab4ea.png"/><Relationship Id="rId17" Type="http://schemas.openxmlformats.org/officeDocument/2006/relationships/image" Target="media/18ffa45aea77e384969fe6c3323da3783f36f694.png"/><Relationship Id="rId18" Type="http://schemas.openxmlformats.org/officeDocument/2006/relationships/image" Target="media/d580ea801f0e91b03eb3e855032aa6b3d9b03899.png"/><Relationship Id="rId19" Type="http://schemas.openxmlformats.org/officeDocument/2006/relationships/image" Target="media/283335cdb3f64d9ece4f8583ec539a494d722500.png"/><Relationship Id="rId20" Type="http://schemas.openxmlformats.org/officeDocument/2006/relationships/image" Target="media/3d8f42f42b87a9c074a8ffcfe4cf3604e1d3ebf7.png"/><Relationship Id="rId21" Type="http://schemas.openxmlformats.org/officeDocument/2006/relationships/image" Target="media/c4ec04a2a5aceeeceb9c5a7ce2b8b87ea335ad85.png"/><Relationship Id="rId22" Type="http://schemas.openxmlformats.org/officeDocument/2006/relationships/image" Target="media/09d2813a94140f45df99f18f8bd527421bc2eccd.png"/><Relationship Id="rId23" Type="http://schemas.openxmlformats.org/officeDocument/2006/relationships/image" Target="media/15e495609204a470d829100eded0d88b38505920.png"/><Relationship Id="rId24" Type="http://schemas.openxmlformats.org/officeDocument/2006/relationships/image" Target="media/465bd19048fe68118b87c910df70e1a67b699df9.png"/><Relationship Id="rId25" Type="http://schemas.openxmlformats.org/officeDocument/2006/relationships/image" Target="media/2681ab75883d7c147fcc0b4241559e292fc2c983.png"/><Relationship Id="rId26" Type="http://schemas.openxmlformats.org/officeDocument/2006/relationships/image" Target="media/6575203e6c482afa145cf949d083b8e0b8722a1b.png"/><Relationship Id="rId27" Type="http://schemas.openxmlformats.org/officeDocument/2006/relationships/image" Target="media/d05b187645bb9e6c4bccb4172db4108f96bfc362.png"/><Relationship Id="rId28" Type="http://schemas.openxmlformats.org/officeDocument/2006/relationships/image" Target="media/260d06f79f80ee8f4a2f33d9f013273e09f27922.png"/><Relationship Id="rId29" Type="http://schemas.openxmlformats.org/officeDocument/2006/relationships/image" Target="media/a185c59bfd423f712ae8db14ed1cc11718fbbc10.png"/><Relationship Id="rId30" Type="http://schemas.openxmlformats.org/officeDocument/2006/relationships/image" Target="media/b3fb20b37d856363bde3c0e33da800aa3a84889c.png"/><Relationship Id="rId31" Type="http://schemas.openxmlformats.org/officeDocument/2006/relationships/image" Target="media/8e112fc50900c2deb10ead4cd7c63739f6e005ec.png"/><Relationship Id="rId3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Sunnah Remedies — Brand &amp; Logo Guidelines</dc:title>
  <dc:creator>Sunnah Remedies</dc:creator>
  <cp:lastModifiedBy>Un-named</cp:lastModifiedBy>
  <cp:revision>1</cp:revision>
  <dcterms:created xsi:type="dcterms:W3CDTF">2026-07-03T17:16:34.105Z</dcterms:created>
  <dcterms:modified xsi:type="dcterms:W3CDTF">2026-07-03T17:16:34.106Z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