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40"/>
      </w:pPr>
      <w:r>
        <w:rPr>
          <w:rFonts w:ascii="Segoe UI" w:cs="Segoe UI" w:eastAsia="Segoe UI" w:hAnsi="Segoe UI"/>
          <w:b/>
          <w:bCs/>
          <w:color w:val="8A6D3B"/>
          <w:spacing w:val="60"/>
          <w:sz w:val="20"/>
          <w:szCs w:val="20"/>
        </w:rPr>
        <w:t xml:space="preserve">MASTER IMPLEMENTATION PROGRAMME</w:t>
      </w:r>
    </w:p>
    <w:p>
      <w:pPr>
        <w:pBdr>
          <w:bottom w:val="single" w:color="0A2B21" w:sz="8"/>
        </w:pBdr>
        <w:spacing w:after="200"/>
      </w:pPr>
      <w:r>
        <w:t xml:space="preserve"/>
      </w:r>
    </w:p>
    <w:p>
      <w:pPr>
        <w:spacing w:after="100"/>
      </w:pPr>
      <w:r>
        <w:rPr>
          <w:rFonts w:ascii="Segoe UI" w:cs="Segoe UI" w:eastAsia="Segoe UI" w:hAnsi="Segoe UI"/>
          <w:b/>
          <w:bCs/>
          <w:color w:val="0A2B21"/>
          <w:sz w:val="62"/>
          <w:szCs w:val="62"/>
        </w:rPr>
        <w:t xml:space="preserve">Continuum Platform</w:t>
      </w:r>
    </w:p>
    <w:p>
      <w:pPr>
        <w:spacing w:after="240"/>
      </w:pPr>
      <w:r>
        <w:rPr>
          <w:rFonts w:ascii="Georgia" w:cs="Georgia" w:eastAsia="Georgia" w:hAnsi="Georgia"/>
          <w:i/>
          <w:iCs/>
          <w:color w:val="1A1A1A"/>
          <w:sz w:val="30"/>
          <w:szCs w:val="30"/>
        </w:rPr>
        <w:t xml:space="preserve">Engineering Backlog &amp; Master Roadmap</w:t>
      </w:r>
    </w:p>
    <w:p>
      <w:pPr>
        <w:spacing w:after="400"/>
      </w:pPr>
      <w:r>
        <w:rPr>
          <w:rFonts w:ascii="Georgia" w:cs="Georgia" w:eastAsia="Georgia" w:hAnsi="Georgia"/>
          <w:color w:val="6B6B6B"/>
          <w:sz w:val="22"/>
          <w:szCs w:val="22"/>
        </w:rPr>
        <w:t xml:space="preserve">A phase-by-phase, milestone-by-milestone, task-level decomposition of the DIOS specification into an executable programme.</w:t>
      </w:r>
    </w:p>
    <w:tbl>
      <w:tblPr>
        <w:tblW w:type="dxa" w:w="9360"/>
        <w:tblBorders>
          <w:top w:val="single" w:color="D8D8D8" w:sz="2"/>
          <w:left w:val="single" w:color="D8D8D8" w:sz="2"/>
          <w:bottom w:val="single" w:color="D8D8D8" w:sz="2"/>
          <w:right w:val="single" w:color="D8D8D8" w:sz="2"/>
          <w:insideH w:val="single" w:color="D8D8D8" w:sz="2"/>
          <w:insideV w:val="single" w:color="D8D8D8" w:sz="2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24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Basis of record</w:t>
            </w:r>
          </w:p>
        </w:tc>
        <w:tc>
          <w:tcPr>
            <w:tcW w:type="dxa" w:w="624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DIOS — Digital Institution Starter Platform Engineering Specification v1.0</w:t>
            </w:r>
          </w:p>
        </w:tc>
      </w:tr>
      <w:tr>
        <w:tc>
          <w:tcPr>
            <w:tcW w:type="dxa" w:w="312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Document class</w:t>
            </w:r>
          </w:p>
        </w:tc>
        <w:tc>
          <w:tcPr>
            <w:tcW w:type="dxa" w:w="624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Master implementation programme (backlog)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Structure</w:t>
            </w:r>
          </w:p>
        </w:tc>
        <w:tc>
          <w:tcPr>
            <w:tcW w:type="dxa" w:w="624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10 phases · milestones · Cursor-ready tasks</w:t>
            </w:r>
          </w:p>
        </w:tc>
      </w:tr>
      <w:tr>
        <w:tc>
          <w:tcPr>
            <w:tcW w:type="dxa" w:w="312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Team model</w:t>
            </w:r>
          </w:p>
        </w:tc>
        <w:tc>
          <w:tcPr>
            <w:tcW w:type="dxa" w:w="624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Small squad (4–6 engineers) + AI agents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Governing rule</w:t>
            </w:r>
          </w:p>
        </w:tc>
        <w:tc>
          <w:tcPr>
            <w:tcW w:type="dxa" w:w="624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Decomposes the spec; does not redesign or rewrite it</w:t>
            </w:r>
          </w:p>
        </w:tc>
      </w:tr>
      <w:tr>
        <w:tc>
          <w:tcPr>
            <w:tcW w:type="dxa" w:w="312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Companion files</w:t>
            </w:r>
          </w:p>
        </w:tc>
        <w:tc>
          <w:tcPr>
            <w:tcW w:type="dxa" w:w="624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One detailed backlog document per phase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8A6D3B"/>
          <w:sz w:val="30"/>
          <w:szCs w:val="30"/>
        </w:rPr>
        <w:t xml:space="preserve">01  </w:t>
      </w:r>
      <w:r>
        <w:rPr>
          <w:rFonts w:ascii="Segoe UI" w:cs="Segoe UI" w:eastAsia="Segoe UI" w:hAnsi="Segoe UI"/>
          <w:b/>
          <w:bCs/>
          <w:color w:val="0A2B21"/>
          <w:sz w:val="30"/>
          <w:szCs w:val="30"/>
        </w:rPr>
        <w:t xml:space="preserve">Team Model &amp; Cadence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Small squad of 4–6 senior engineers working alongside AI coding agents (Cursor / Claude Code).</w:t>
      </w:r>
    </w:p>
    <w:tbl>
      <w:tblPr>
        <w:tblW w:type="dxa" w:w="9360"/>
        <w:tblBorders>
          <w:top w:val="single" w:color="D8D8D8" w:sz="2"/>
          <w:left w:val="single" w:color="D8D8D8" w:sz="2"/>
          <w:bottom w:val="single" w:color="D8D8D8" w:sz="2"/>
          <w:right w:val="single" w:color="D8D8D8" w:sz="2"/>
          <w:insideH w:val="single" w:color="D8D8D8" w:sz="2"/>
          <w:insideV w:val="single" w:color="D8D8D8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636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Focus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Platform Lead</w:t>
            </w:r>
          </w:p>
        </w:tc>
        <w:tc>
          <w:tcPr>
            <w:tcW w:type="dxa" w:w="63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Owns architecture conformance, ADRs, and the dependency law. Approves interface changes.</w:t>
            </w:r>
          </w:p>
        </w:tc>
      </w:tr>
      <w:tr>
        <w:tc>
          <w:tcPr>
            <w:tcW w:type="dxa" w:w="30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Core / Infra Engineer</w:t>
            </w:r>
          </w:p>
        </w:tc>
        <w:tc>
          <w:tcPr>
            <w:tcW w:type="dxa" w:w="636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Kernel, tooling, CI/CD, observability, environments.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Frontend / Design-System Engineer</w:t>
            </w:r>
          </w:p>
        </w:tc>
        <w:tc>
          <w:tcPr>
            <w:tcW w:type="dxa" w:w="63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Design tokens, component library, Storybook, accessibility.</w:t>
            </w:r>
          </w:p>
        </w:tc>
      </w:tr>
      <w:tr>
        <w:tc>
          <w:tcPr>
            <w:tcW w:type="dxa" w:w="30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Content / Backend Engineer</w:t>
            </w:r>
          </w:p>
        </w:tc>
        <w:tc>
          <w:tcPr>
            <w:tcW w:type="dxa" w:w="636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CMS, Media, Search/Knowledge, data schemas.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Commerce / Ops Engineer</w:t>
            </w:r>
          </w:p>
        </w:tc>
        <w:tc>
          <w:tcPr>
            <w:tcW w:type="dxa" w:w="63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Commerce, Payments, Operations, Notifications.</w:t>
            </w:r>
          </w:p>
        </w:tc>
      </w:tr>
      <w:tr>
        <w:tc>
          <w:tcPr>
            <w:tcW w:type="dxa" w:w="30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AI / Agent Engineer</w:t>
            </w:r>
          </w:p>
        </w:tc>
        <w:tc>
          <w:tcPr>
            <w:tcW w:type="dxa" w:w="636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AI gateway, RAG, agent rules, generator (create-institution).</w:t>
            </w:r>
          </w:p>
        </w:tc>
      </w:tr>
    </w:tbl>
    <w:p>
      <w:pPr>
        <w:pBdr>
          <w:top w:val="single" w:color="2F5D4E" w:sz="4"/>
          <w:bottom w:val="single" w:color="2F5D4E" w:sz="4"/>
          <w:left w:val="single" w:color="0A2B21" w:sz="24"/>
          <w:right w:val="single" w:color="2F5D4E" w:sz="4"/>
        </w:pBdr>
        <w:shd w:fill="E8EEEA" w:color="auto" w:val="clear"/>
        <w:spacing w:after="140" w:before="100" w:line="288"/>
        <w:ind w:left="120" w:right="120"/>
      </w:pPr>
      <w:r>
        <w:rPr>
          <w:rFonts w:ascii="Segoe UI" w:cs="Segoe UI" w:eastAsia="Segoe UI" w:hAnsi="Segoe UI"/>
          <w:b/>
          <w:bCs/>
          <w:color w:val="0A2B21"/>
          <w:sz w:val="16"/>
          <w:szCs w:val="16"/>
        </w:rPr>
        <w:t xml:space="preserve">VELOCITY   </w:t>
      </w:r>
      <w:r>
        <w:rPr>
          <w:rFonts w:ascii="Georgia" w:cs="Georgia" w:eastAsia="Georgia" w:hAnsi="Georgia"/>
          <w:i/>
          <w:iCs/>
          <w:color w:val="1A1A1A"/>
          <w:sz w:val="19"/>
          <w:szCs w:val="19"/>
        </w:rPr>
        <w:t xml:space="preserve">Each phase is scoped to one to two calendar weeks of squad effort. Milestones are 1–3 days; tasks are sized so a single agent can complete one confidently in under half a day.</w:t>
      </w:r>
    </w:p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8A6D3B"/>
          <w:sz w:val="30"/>
          <w:szCs w:val="30"/>
        </w:rPr>
        <w:t xml:space="preserve">02  </w:t>
      </w:r>
      <w:r>
        <w:rPr>
          <w:rFonts w:ascii="Segoe UI" w:cs="Segoe UI" w:eastAsia="Segoe UI" w:hAnsi="Segoe UI"/>
          <w:b/>
          <w:bCs/>
          <w:color w:val="0A2B21"/>
          <w:sz w:val="30"/>
          <w:szCs w:val="30"/>
        </w:rPr>
        <w:t xml:space="preserve">Global Engineering Conventions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Always deployable.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Every task must leave main in a deployable state: all gates green, no half-wired feature behind a flag left enabled.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Task shape.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Every task declares Inputs, Outputs, Files created, Files modified, Verification steps, and Manual QA steps.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Branching.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Trunk-based: short-lived branches, one task (or a tight milestone) per PR, squash-merge behind required checks.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Feature flags.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Incomplete capability ships disabled behind a feature flag or an inactive module toggle; the baseline never regresses.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Merge gates.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Merge gates: typecheck · lint · format · unit · integration · a11y (axe) · visual-regression · dependency-graph · secret-scan · build.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No code here.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This programme contains no application code. Tasks describe intent, contracts, and verification — the implementing agent writes the code.</w:t>
      </w:r>
    </w:p>
    <w:p>
      <w:pPr>
        <w:pStyle w:val="Heading3"/>
        <w:spacing w:after="80" w:before="180"/>
      </w:pPr>
      <w:r>
        <w:rPr>
          <w:rFonts w:ascii="Segoe UI" w:cs="Segoe UI" w:eastAsia="Segoe UI" w:hAnsi="Segoe UI"/>
          <w:b/>
          <w:bCs/>
          <w:color w:val="1A1A1A"/>
          <w:sz w:val="21"/>
          <w:szCs w:val="21"/>
        </w:rPr>
        <w:t xml:space="preserve">Definition of Ready (every task)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The task's parent milestone acceptance criteria are understood.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All upstream tasks it depends on are merged to main.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Required environment variables and external-service access exist (or a stub/adapter is specified).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The relevant module interface (from the DIOS spec §4) is identified.</w:t>
      </w:r>
    </w:p>
    <w:p>
      <w:pPr>
        <w:pStyle w:val="Heading3"/>
        <w:spacing w:after="80" w:before="180"/>
      </w:pPr>
      <w:r>
        <w:rPr>
          <w:rFonts w:ascii="Segoe UI" w:cs="Segoe UI" w:eastAsia="Segoe UI" w:hAnsi="Segoe UI"/>
          <w:b/>
          <w:bCs/>
          <w:color w:val="1A1A1A"/>
          <w:sz w:val="21"/>
          <w:szCs w:val="21"/>
        </w:rPr>
        <w:t xml:space="preserve">Definition of Done (every task)</w:t>
      </w:r>
    </w:p>
    <w:p>
      <w:pPr>
        <w:spacing w:after="50" w:line="276"/>
        <w:ind w:left="360" w:hanging="220"/>
      </w:pPr>
      <w:r>
        <w:rPr>
          <w:rFonts w:ascii="Segoe UI" w:cs="Segoe UI" w:eastAsia="Segoe UI" w:hAnsi="Segoe UI"/>
          <w:color w:val="2F5D4E"/>
          <w:sz w:val="18"/>
          <w:szCs w:val="18"/>
        </w:rPr>
        <w:t xml:space="preserve">☐ 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Code merged to main behind required checks; all merge gates green.</w:t>
      </w:r>
    </w:p>
    <w:p>
      <w:pPr>
        <w:spacing w:after="50" w:line="276"/>
        <w:ind w:left="360" w:hanging="220"/>
      </w:pPr>
      <w:r>
        <w:rPr>
          <w:rFonts w:ascii="Segoe UI" w:cs="Segoe UI" w:eastAsia="Segoe UI" w:hAnsi="Segoe UI"/>
          <w:color w:val="2F5D4E"/>
          <w:sz w:val="18"/>
          <w:szCs w:val="18"/>
        </w:rPr>
        <w:t xml:space="preserve">☐ 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Declared Outputs exist and are reachable through the module's public interface only.</w:t>
      </w:r>
    </w:p>
    <w:p>
      <w:pPr>
        <w:spacing w:after="50" w:line="276"/>
        <w:ind w:left="360" w:hanging="220"/>
      </w:pPr>
      <w:r>
        <w:rPr>
          <w:rFonts w:ascii="Segoe UI" w:cs="Segoe UI" w:eastAsia="Segoe UI" w:hAnsi="Segoe UI"/>
          <w:color w:val="2F5D4E"/>
          <w:sz w:val="18"/>
          <w:szCs w:val="18"/>
        </w:rPr>
        <w:t xml:space="preserve">☐ 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Tests specified in the task are present and passing.</w:t>
      </w:r>
    </w:p>
    <w:p>
      <w:pPr>
        <w:spacing w:after="50" w:line="276"/>
        <w:ind w:left="360" w:hanging="220"/>
      </w:pPr>
      <w:r>
        <w:rPr>
          <w:rFonts w:ascii="Segoe UI" w:cs="Segoe UI" w:eastAsia="Segoe UI" w:hAnsi="Segoe UI"/>
          <w:color w:val="2F5D4E"/>
          <w:sz w:val="18"/>
          <w:szCs w:val="18"/>
        </w:rPr>
        <w:t xml:space="preserve">☐ 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Manual QA steps executed and recorded on the PR.</w:t>
      </w:r>
    </w:p>
    <w:p>
      <w:pPr>
        <w:spacing w:after="50" w:line="276"/>
        <w:ind w:left="360" w:hanging="220"/>
      </w:pPr>
      <w:r>
        <w:rPr>
          <w:rFonts w:ascii="Segoe UI" w:cs="Segoe UI" w:eastAsia="Segoe UI" w:hAnsi="Segoe UI"/>
          <w:color w:val="2F5D4E"/>
          <w:sz w:val="18"/>
          <w:szCs w:val="18"/>
        </w:rPr>
        <w:t xml:space="preserve">☐ 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Docs updated (module interface doc, ADR if a decision was made, changelog entry).</w:t>
      </w:r>
    </w:p>
    <w:p>
      <w:pPr>
        <w:spacing w:after="50" w:line="276"/>
        <w:ind w:left="360" w:hanging="220"/>
      </w:pPr>
      <w:r>
        <w:rPr>
          <w:rFonts w:ascii="Segoe UI" w:cs="Segoe UI" w:eastAsia="Segoe UI" w:hAnsi="Segoe UI"/>
          <w:color w:val="2F5D4E"/>
          <w:sz w:val="18"/>
          <w:szCs w:val="18"/>
        </w:rPr>
        <w:t xml:space="preserve">☐ 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main deploys cleanly to a preview environment.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8A6D3B"/>
          <w:sz w:val="30"/>
          <w:szCs w:val="30"/>
        </w:rPr>
        <w:t xml:space="preserve">03  </w:t>
      </w:r>
      <w:r>
        <w:rPr>
          <w:rFonts w:ascii="Segoe UI" w:cs="Segoe UI" w:eastAsia="Segoe UI" w:hAnsi="Segoe UI"/>
          <w:b/>
          <w:bCs/>
          <w:color w:val="0A2B21"/>
          <w:sz w:val="30"/>
          <w:szCs w:val="30"/>
        </w:rPr>
        <w:t xml:space="preserve">Phase Map</w:t>
      </w:r>
    </w:p>
    <w:tbl>
      <w:tblPr>
        <w:tblW w:type="dxa" w:w="9360"/>
        <w:tblBorders>
          <w:top w:val="single" w:color="D8D8D8" w:sz="2"/>
          <w:left w:val="single" w:color="D8D8D8" w:sz="2"/>
          <w:bottom w:val="single" w:color="D8D8D8" w:sz="2"/>
          <w:right w:val="single" w:color="D8D8D8" w:sz="2"/>
          <w:insideH w:val="single" w:color="D8D8D8" w:sz="2"/>
          <w:insideV w:val="single" w:color="D8D8D8" w:sz="2"/>
        </w:tblBorders>
      </w:tblPr>
      <w:tblGrid>
        <w:gridCol w:w="900"/>
        <w:gridCol w:w="3200"/>
        <w:gridCol w:w="1500"/>
        <w:gridCol w:w="1660"/>
        <w:gridCol w:w="2100"/>
      </w:tblGrid>
      <w:tr>
        <w:trPr>
          <w:tblHeader/>
        </w:trPr>
        <w:tc>
          <w:tcPr>
            <w:tcW w:type="dxa" w:w="90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dxa" w:w="320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Title</w:t>
            </w:r>
          </w:p>
        </w:tc>
        <w:tc>
          <w:tcPr>
            <w:tcW w:type="dxa" w:w="150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Spec</w:t>
            </w:r>
          </w:p>
        </w:tc>
        <w:tc>
          <w:tcPr>
            <w:tcW w:type="dxa" w:w="166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210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Dur.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P0</w:t>
            </w:r>
          </w:p>
        </w:tc>
        <w:tc>
          <w:tcPr>
            <w:tcW w:type="dxa" w:w="3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Foundations &amp; Standards</w:t>
            </w:r>
          </w:p>
        </w:tc>
        <w:tc>
          <w:tcPr>
            <w:tcW w:type="dxa" w:w="15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Spec Phase 0</w:t>
            </w:r>
          </w:p>
        </w:tc>
        <w:tc>
          <w:tcPr>
            <w:tcW w:type="dxa" w:w="16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Kernel</w:t>
            </w:r>
          </w:p>
        </w:tc>
        <w:tc>
          <w:tcPr>
            <w:tcW w:type="dxa" w:w="21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2 weeks</w:t>
            </w:r>
          </w:p>
        </w:tc>
      </w:tr>
      <w:tr>
        <w:tc>
          <w:tcPr>
            <w:tcW w:type="dxa" w:w="9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P1</w:t>
            </w:r>
          </w:p>
        </w:tc>
        <w:tc>
          <w:tcPr>
            <w:tcW w:type="dxa" w:w="32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Design System &amp; Primitives</w:t>
            </w:r>
          </w:p>
        </w:tc>
        <w:tc>
          <w:tcPr>
            <w:tcW w:type="dxa" w:w="15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Spec Phase 1</w:t>
            </w:r>
          </w:p>
        </w:tc>
        <w:tc>
          <w:tcPr>
            <w:tcW w:type="dxa" w:w="166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Foundation</w:t>
            </w:r>
          </w:p>
        </w:tc>
        <w:tc>
          <w:tcPr>
            <w:tcW w:type="dxa" w:w="21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2 weeks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P2</w:t>
            </w:r>
          </w:p>
        </w:tc>
        <w:tc>
          <w:tcPr>
            <w:tcW w:type="dxa" w:w="3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CMS &amp; Media</w:t>
            </w:r>
          </w:p>
        </w:tc>
        <w:tc>
          <w:tcPr>
            <w:tcW w:type="dxa" w:w="15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Spec Phase 2</w:t>
            </w:r>
          </w:p>
        </w:tc>
        <w:tc>
          <w:tcPr>
            <w:tcW w:type="dxa" w:w="16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Foundation</w:t>
            </w:r>
          </w:p>
        </w:tc>
        <w:tc>
          <w:tcPr>
            <w:tcW w:type="dxa" w:w="21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2 weeks</w:t>
            </w:r>
          </w:p>
        </w:tc>
      </w:tr>
      <w:tr>
        <w:tc>
          <w:tcPr>
            <w:tcW w:type="dxa" w:w="9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P3</w:t>
            </w:r>
          </w:p>
        </w:tc>
        <w:tc>
          <w:tcPr>
            <w:tcW w:type="dxa" w:w="32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Identity, Security &amp; Settings</w:t>
            </w:r>
          </w:p>
        </w:tc>
        <w:tc>
          <w:tcPr>
            <w:tcW w:type="dxa" w:w="15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Spec Phase 3</w:t>
            </w:r>
          </w:p>
        </w:tc>
        <w:tc>
          <w:tcPr>
            <w:tcW w:type="dxa" w:w="166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Foundation</w:t>
            </w:r>
          </w:p>
        </w:tc>
        <w:tc>
          <w:tcPr>
            <w:tcW w:type="dxa" w:w="21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2 weeks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P4</w:t>
            </w:r>
          </w:p>
        </w:tc>
        <w:tc>
          <w:tcPr>
            <w:tcW w:type="dxa" w:w="3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Search, Knowledge &amp; AI Foundation</w:t>
            </w:r>
          </w:p>
        </w:tc>
        <w:tc>
          <w:tcPr>
            <w:tcW w:type="dxa" w:w="15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Spec Phase 4</w:t>
            </w:r>
          </w:p>
        </w:tc>
        <w:tc>
          <w:tcPr>
            <w:tcW w:type="dxa" w:w="16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Capability</w:t>
            </w:r>
          </w:p>
        </w:tc>
        <w:tc>
          <w:tcPr>
            <w:tcW w:type="dxa" w:w="21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2 weeks</w:t>
            </w:r>
          </w:p>
        </w:tc>
      </w:tr>
      <w:tr>
        <w:tc>
          <w:tcPr>
            <w:tcW w:type="dxa" w:w="9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P5</w:t>
            </w:r>
          </w:p>
        </w:tc>
        <w:tc>
          <w:tcPr>
            <w:tcW w:type="dxa" w:w="32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Operations &amp; Notifications</w:t>
            </w:r>
          </w:p>
        </w:tc>
        <w:tc>
          <w:tcPr>
            <w:tcW w:type="dxa" w:w="15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Spec Phase 5</w:t>
            </w:r>
          </w:p>
        </w:tc>
        <w:tc>
          <w:tcPr>
            <w:tcW w:type="dxa" w:w="166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Intelligence</w:t>
            </w:r>
          </w:p>
        </w:tc>
        <w:tc>
          <w:tcPr>
            <w:tcW w:type="dxa" w:w="21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2 weeks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P6</w:t>
            </w:r>
          </w:p>
        </w:tc>
        <w:tc>
          <w:tcPr>
            <w:tcW w:type="dxa" w:w="3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Commerce &amp; Payments</w:t>
            </w:r>
          </w:p>
        </w:tc>
        <w:tc>
          <w:tcPr>
            <w:tcW w:type="dxa" w:w="15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Spec Phase 6</w:t>
            </w:r>
          </w:p>
        </w:tc>
        <w:tc>
          <w:tcPr>
            <w:tcW w:type="dxa" w:w="16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Capability</w:t>
            </w:r>
          </w:p>
        </w:tc>
        <w:tc>
          <w:tcPr>
            <w:tcW w:type="dxa" w:w="21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2 weeks</w:t>
            </w:r>
          </w:p>
        </w:tc>
      </w:tr>
      <w:tr>
        <w:tc>
          <w:tcPr>
            <w:tcW w:type="dxa" w:w="9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P7</w:t>
            </w:r>
          </w:p>
        </w:tc>
        <w:tc>
          <w:tcPr>
            <w:tcW w:type="dxa" w:w="32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Community, Courses &amp; Membership</w:t>
            </w:r>
          </w:p>
        </w:tc>
        <w:tc>
          <w:tcPr>
            <w:tcW w:type="dxa" w:w="15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Spec Phase 7</w:t>
            </w:r>
          </w:p>
        </w:tc>
        <w:tc>
          <w:tcPr>
            <w:tcW w:type="dxa" w:w="166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Engagement</w:t>
            </w:r>
          </w:p>
        </w:tc>
        <w:tc>
          <w:tcPr>
            <w:tcW w:type="dxa" w:w="21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2 weeks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P8</w:t>
            </w:r>
          </w:p>
        </w:tc>
        <w:tc>
          <w:tcPr>
            <w:tcW w:type="dxa" w:w="3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Research, Governance &amp; Internationalisation</w:t>
            </w:r>
          </w:p>
        </w:tc>
        <w:tc>
          <w:tcPr>
            <w:tcW w:type="dxa" w:w="15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Spec Phase 8</w:t>
            </w:r>
          </w:p>
        </w:tc>
        <w:tc>
          <w:tcPr>
            <w:tcW w:type="dxa" w:w="16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Intelligence</w:t>
            </w:r>
          </w:p>
        </w:tc>
        <w:tc>
          <w:tcPr>
            <w:tcW w:type="dxa" w:w="21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2 weeks</w:t>
            </w:r>
          </w:p>
        </w:tc>
      </w:tr>
      <w:tr>
        <w:tc>
          <w:tcPr>
            <w:tcW w:type="dxa" w:w="9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P9</w:t>
            </w:r>
          </w:p>
        </w:tc>
        <w:tc>
          <w:tcPr>
            <w:tcW w:type="dxa" w:w="32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Generator, Docs &amp; Hardening</w:t>
            </w:r>
          </w:p>
        </w:tc>
        <w:tc>
          <w:tcPr>
            <w:tcW w:type="dxa" w:w="15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Spec Phase 9</w:t>
            </w:r>
          </w:p>
        </w:tc>
        <w:tc>
          <w:tcPr>
            <w:tcW w:type="dxa" w:w="166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Platform</w:t>
            </w:r>
          </w:p>
        </w:tc>
        <w:tc>
          <w:tcPr>
            <w:tcW w:type="dxa" w:w="21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2 weeks</w:t>
            </w:r>
          </w:p>
        </w:tc>
      </w:tr>
    </w:tbl>
    <w:p>
      <w:pPr>
        <w:pStyle w:val="Heading3"/>
        <w:spacing w:after="80" w:before="180"/>
      </w:pPr>
      <w:r>
        <w:rPr>
          <w:rFonts w:ascii="Segoe UI" w:cs="Segoe UI" w:eastAsia="Segoe UI" w:hAnsi="Segoe UI"/>
          <w:b/>
          <w:bCs/>
          <w:color w:val="1A1A1A"/>
          <w:sz w:val="21"/>
          <w:szCs w:val="21"/>
        </w:rPr>
        <w:t xml:space="preserve">Dependency flow</w:t>
      </w:r>
    </w:p>
    <w:p>
      <w:pPr>
        <w:pBdr>
          <w:left w:val="single" w:color="2F5D4E" w:sz="18" w:space="8"/>
        </w:pBdr>
        <w:shd w:fill="F3F1EC" w:color="auto" w:val="clear"/>
        <w:spacing w:after="80" w:line="24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P0 Foundations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 └─&gt; P1 Design System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      └─&gt; P2 CMS &amp; Media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           └─&gt; P3 Identity &amp; Security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                ├─&gt; P4 Search / Knowledge / AI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                │     └─&gt; P5 Operations &amp; Notifications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                │          └─&gt; P6 Commerce &amp; Payments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                │               └─&gt; P7 Community / Courses / Membership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                │                    └─&gt; P8 Research / Governance / i18n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                └────────────────────────&gt; P9 Generator / Docs / Hardening</w:t>
      </w:r>
    </w:p>
    <w:p>
      <w:pPr>
        <w:pBdr>
          <w:top w:val="single" w:color="2F5D4E" w:sz="4"/>
          <w:bottom w:val="single" w:color="2F5D4E" w:sz="4"/>
          <w:left w:val="single" w:color="0A2B21" w:sz="24"/>
          <w:right w:val="single" w:color="2F5D4E" w:sz="4"/>
        </w:pBdr>
        <w:shd w:fill="E8EEEA" w:color="auto" w:val="clear"/>
        <w:spacing w:after="140" w:before="100" w:line="288"/>
        <w:ind w:left="120" w:right="120"/>
      </w:pPr>
      <w:r>
        <w:rPr>
          <w:rFonts w:ascii="Segoe UI" w:cs="Segoe UI" w:eastAsia="Segoe UI" w:hAnsi="Segoe UI"/>
          <w:b/>
          <w:bCs/>
          <w:color w:val="0A2B21"/>
          <w:sz w:val="16"/>
          <w:szCs w:val="16"/>
        </w:rPr>
        <w:t xml:space="preserve">INDEPENDENTLY DEPLOYABLE   </w:t>
      </w:r>
      <w:r>
        <w:rPr>
          <w:rFonts w:ascii="Georgia" w:cs="Georgia" w:eastAsia="Georgia" w:hAnsi="Georgia"/>
          <w:i/>
          <w:iCs/>
          <w:color w:val="1A1A1A"/>
          <w:sz w:val="19"/>
          <w:szCs w:val="19"/>
        </w:rPr>
        <w:t xml:space="preserve">Each phase leaves main shippable. Value compounds: an institution can launch on P0–P3 alone, then activate Commerce, Community, or AI later without re-platforming.</w:t>
      </w:r>
    </w:p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8A6D3B"/>
          <w:sz w:val="30"/>
          <w:szCs w:val="30"/>
        </w:rPr>
        <w:t xml:space="preserve">04  </w:t>
      </w:r>
      <w:r>
        <w:rPr>
          <w:rFonts w:ascii="Segoe UI" w:cs="Segoe UI" w:eastAsia="Segoe UI" w:hAnsi="Segoe UI"/>
          <w:b/>
          <w:bCs/>
          <w:color w:val="0A2B21"/>
          <w:sz w:val="30"/>
          <w:szCs w:val="30"/>
        </w:rPr>
        <w:t xml:space="preserve">How to Use This Backlog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Work phases in order; within a phase, milestones in order; within a milestone, tasks may parallelise across the squad where inputs are met.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Each task is scoped for one AI agent (Cursor / Claude Code) to complete confidently in a single focused session.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Open one PR per task (or per tight milestone); the PR template carries the Definition of Done checklist.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Never merge a task that leaves the baseline broken or a half-wired capability enabled — gate it behind a flag or inactive module toggle.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8A6D3B"/>
          <w:sz w:val="30"/>
          <w:szCs w:val="30"/>
        </w:rPr>
        <w:t xml:space="preserve">05  </w:t>
      </w:r>
      <w:r>
        <w:rPr>
          <w:rFonts w:ascii="Segoe UI" w:cs="Segoe UI" w:eastAsia="Segoe UI" w:hAnsi="Segoe UI"/>
          <w:b/>
          <w:bCs/>
          <w:color w:val="0A2B21"/>
          <w:sz w:val="30"/>
          <w:szCs w:val="30"/>
        </w:rPr>
        <w:t xml:space="preserve">Phase Summaries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P0 — Foundations &amp; Standards</w:t>
      </w:r>
    </w:p>
    <w:p>
      <w:pPr>
        <w:spacing w:after="80"/>
      </w:pPr>
      <w:r>
        <w:rPr>
          <w:rFonts w:ascii="Segoe UI" w:cs="Segoe UI" w:eastAsia="Segoe UI" w:hAnsi="Segoe UI"/>
          <w:color w:val="8A6D3B"/>
          <w:sz w:val="17"/>
          <w:szCs w:val="17"/>
        </w:rPr>
        <w:t xml:space="preserve">2 weeks  ·  Spec Phase 0  ·  4 milestones · 18 tasks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Stand up the monorepo, the encoded standards, the CI/CD skeleton, and the Core kernel. Nothing institution-specific ships here; this phase makes every later phase possible and enforces the dependency law from the first commit.</w:t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2F5D4E"/>
          <w:sz w:val="17"/>
          <w:szCs w:val="17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Create the monorepo skeleton (apps/, packages/, modules/, standards/, tooling/, docs/, examples/, templates/, scripts/, .github/, .cursor/) per spec §17.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Encode the standards: TypeScript strict base, lint/format configs, commit hooks, and the token/schema config homes.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Implement the Core kernel (§4.1): typed config, event bus, adapter registry, logger, error/Result model.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Stand up CI/CD with all merge gates and the dependency-graph enforcement.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Establish the ADR process and the agent guidance (.cursor rules + Claude instructions) so AI generation stays on-architecture.</w:t>
      </w:r>
    </w:p>
    <w:p>
      <w:pPr>
        <w:spacing w:after="120"/>
      </w:pPr>
      <w:r>
        <w:rPr>
          <w:rFonts w:ascii="Georgia" w:cs="Georgia" w:eastAsia="Georgia" w:hAnsi="Georgia"/>
          <w:color w:val="6B6B6B"/>
          <w:sz w:val="18"/>
          <w:szCs w:val="18"/>
        </w:rPr>
        <w:t xml:space="preserve">Full detail: 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00-phase-0-foundations.docx</w:t>
      </w:r>
    </w:p>
    <w:p>
      <w:pPr>
        <w:pBdr>
          <w:bottom w:val="single" w:color="E5E2DA" w:sz="4"/>
        </w:pBdr>
        <w:spacing w:after="80"/>
      </w:pP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P1 — Design System &amp; Primitives</w:t>
      </w:r>
    </w:p>
    <w:p>
      <w:pPr>
        <w:spacing w:after="80"/>
      </w:pPr>
      <w:r>
        <w:rPr>
          <w:rFonts w:ascii="Segoe UI" w:cs="Segoe UI" w:eastAsia="Segoe UI" w:hAnsi="Segoe UI"/>
          <w:color w:val="8A6D3B"/>
          <w:sz w:val="17"/>
          <w:szCs w:val="17"/>
        </w:rPr>
        <w:t xml:space="preserve">2 weeks  ·  Spec Phase 1  ·  4 milestones · 13 tasks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Deliver the institutional design system as the single source of visual truth: tokens, three-layer components, Storybook, accessibility gates, and theming/dark mode. Frozen after this phase.</w:t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2F5D4E"/>
          <w:sz w:val="17"/>
          <w:szCs w:val="17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Define the token schema (colour, typography, spacing, radius/elevation, motion, grid) per §5.1 as the sole source of visual truth.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Build the three-layer component system: primitives → elements → patterns (§5.3).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Stand up Storybook as the visual contract with a story per component.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Enforce WCAG 2.2 AA via automated axe checks and add visual-regression to CI (§5.4).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Implement theming (light/dark as token layers) and responsive behaviour.</w:t>
      </w:r>
    </w:p>
    <w:p>
      <w:pPr>
        <w:spacing w:after="120"/>
      </w:pPr>
      <w:r>
        <w:rPr>
          <w:rFonts w:ascii="Georgia" w:cs="Georgia" w:eastAsia="Georgia" w:hAnsi="Georgia"/>
          <w:color w:val="6B6B6B"/>
          <w:sz w:val="18"/>
          <w:szCs w:val="18"/>
        </w:rPr>
        <w:t xml:space="preserve">Full detail: 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01-phase-1-design-system.docx</w:t>
      </w:r>
    </w:p>
    <w:p>
      <w:pPr>
        <w:pBdr>
          <w:bottom w:val="single" w:color="E5E2DA" w:sz="4"/>
        </w:pBdr>
        <w:spacing w:after="80"/>
      </w:pP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P2 — CMS &amp; Media</w:t>
      </w:r>
    </w:p>
    <w:p>
      <w:pPr>
        <w:spacing w:after="80"/>
      </w:pPr>
      <w:r>
        <w:rPr>
          <w:rFonts w:ascii="Segoe UI" w:cs="Segoe UI" w:eastAsia="Segoe UI" w:hAnsi="Segoe UI"/>
          <w:color w:val="8A6D3B"/>
          <w:sz w:val="17"/>
          <w:szCs w:val="17"/>
        </w:rPr>
        <w:t xml:space="preserve">2 weeks  ·  Spec Phase 2  ·  4 milestones · 14 tasks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Enable structured, versioned, typed content (CMS) and governed media (Cloudinary pipeline). Editors can model, preview, and publish; publishing emits events for later indexing/embedding.</w:t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2F5D4E"/>
          <w:sz w:val="17"/>
          <w:szCs w:val="17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Implement the CMS module (§4.3) with the base content schema (§6.1) as portable, typed documents.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Implement the editorial lifecycle: draft → preview → review/approval → publish → version/rollback (§6.2).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Implement the Media module (§4.4) and the Cloudinary pipeline (§7) with governed metadata.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Emit content.published / media.uploaded events for downstream Search/Knowledge (activated in Phase 4).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Scaffold content internationalisation (translatable fields, locale-aware references, RTL support) (§6.3).</w:t>
      </w:r>
    </w:p>
    <w:p>
      <w:pPr>
        <w:spacing w:after="120"/>
      </w:pPr>
      <w:r>
        <w:rPr>
          <w:rFonts w:ascii="Georgia" w:cs="Georgia" w:eastAsia="Georgia" w:hAnsi="Georgia"/>
          <w:color w:val="6B6B6B"/>
          <w:sz w:val="18"/>
          <w:szCs w:val="18"/>
        </w:rPr>
        <w:t xml:space="preserve">Full detail: 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02-phase-2-cms-media.docx</w:t>
      </w:r>
    </w:p>
    <w:p>
      <w:pPr>
        <w:pBdr>
          <w:bottom w:val="single" w:color="E5E2DA" w:sz="4"/>
        </w:pBdr>
        <w:spacing w:after="80"/>
      </w:pP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P3 — Identity, Security &amp; Settings</w:t>
      </w:r>
    </w:p>
    <w:p>
      <w:pPr>
        <w:spacing w:after="80"/>
      </w:pPr>
      <w:r>
        <w:rPr>
          <w:rFonts w:ascii="Segoe UI" w:cs="Segoe UI" w:eastAsia="Segoe UI" w:hAnsi="Segoe UI"/>
          <w:color w:val="8A6D3B"/>
          <w:sz w:val="17"/>
          <w:szCs w:val="17"/>
        </w:rPr>
        <w:t xml:space="preserve">2 weeks  ·  Spec Phase 3  ·  4 milestones · 16 tasks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Provide authentication, centralised RBAC, the security baseline, and institution configuration with jurisdiction profiles. Every protected action now routes through one authorization decision point.</w:t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2F5D4E"/>
          <w:sz w:val="17"/>
          <w:szCs w:val="17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Implement Identity (§4.2): auth/sessions, the user/org/role model, and the central authorize() decision point.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Implement the security baseline (§13): CSRF/XSS defences, rate limiting, secrets, and immutable audit logs.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Implement Settings (§4.20): institution config, module activation toggles, feature flags, and the outward API gateway skeleton.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Provide jurisdiction profiles (UK GDPR, EU GDPR, KSA PDPL) with consent, retention, and erasure mechanisms.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Introduce the sensitive-data category with stricter access and audit (clinical/legal/personal).</w:t>
      </w:r>
    </w:p>
    <w:p>
      <w:pPr>
        <w:spacing w:after="120"/>
      </w:pPr>
      <w:r>
        <w:rPr>
          <w:rFonts w:ascii="Georgia" w:cs="Georgia" w:eastAsia="Georgia" w:hAnsi="Georgia"/>
          <w:color w:val="6B6B6B"/>
          <w:sz w:val="18"/>
          <w:szCs w:val="18"/>
        </w:rPr>
        <w:t xml:space="preserve">Full detail: 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03-phase-3-identity-security.docx</w:t>
      </w:r>
    </w:p>
    <w:p>
      <w:pPr>
        <w:pBdr>
          <w:bottom w:val="single" w:color="E5E2DA" w:sz="4"/>
        </w:pBdr>
        <w:spacing w:after="80"/>
      </w:pP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P4 — Search, Knowledge &amp; AI Foundation</w:t>
      </w:r>
    </w:p>
    <w:p>
      <w:pPr>
        <w:spacing w:after="80"/>
      </w:pPr>
      <w:r>
        <w:rPr>
          <w:rFonts w:ascii="Segoe UI" w:cs="Segoe UI" w:eastAsia="Segoe UI" w:hAnsi="Segoe UI"/>
          <w:color w:val="8A6D3B"/>
          <w:sz w:val="17"/>
          <w:szCs w:val="17"/>
        </w:rPr>
        <w:t xml:space="preserve">2 weeks  ·  Spec Phase 4  ·  3 milestones · 11 tasks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Make everything publishable discoverable and lay grounded-AI foundations. Publishing triggers indexing and embedding; semantic search and a governed, retrieval-grounded AI gateway come online with moderation and audit.</w:t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2F5D4E"/>
          <w:sz w:val="17"/>
          <w:szCs w:val="17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Implement Search (§4.7): indexing, keyword/facets, filters, and the query interface.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Implement Knowledge (§4.8): the knowledge graph, embeddings (pgvector), and the retrieval interface.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Implement the AI gateway (§4.9): the OpenAI-compatible, provider-neutral model interface with RAG orchestration.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Wire content.published/media.uploaded to indexing/embedding jobs (jobs land properly in Phase 5; interim inline handlers here).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Add moderation and generation audit logging; enable AI media tagging (from Phase 2 seam).</w:t>
      </w:r>
    </w:p>
    <w:p>
      <w:pPr>
        <w:spacing w:after="120"/>
      </w:pPr>
      <w:r>
        <w:rPr>
          <w:rFonts w:ascii="Georgia" w:cs="Georgia" w:eastAsia="Georgia" w:hAnsi="Georgia"/>
          <w:color w:val="6B6B6B"/>
          <w:sz w:val="18"/>
          <w:szCs w:val="18"/>
        </w:rPr>
        <w:t xml:space="preserve">Full detail: 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04-phase-4-search-knowledge-ai.docx</w:t>
      </w:r>
    </w:p>
    <w:p>
      <w:pPr>
        <w:pBdr>
          <w:bottom w:val="single" w:color="E5E2DA" w:sz="4"/>
        </w:pBdr>
        <w:spacing w:after="80"/>
      </w:pP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P5 — Operations &amp; Notifications</w:t>
      </w:r>
    </w:p>
    <w:p>
      <w:pPr>
        <w:spacing w:after="80"/>
      </w:pPr>
      <w:r>
        <w:rPr>
          <w:rFonts w:ascii="Segoe UI" w:cs="Segoe UI" w:eastAsia="Segoe UI" w:hAnsi="Segoe UI"/>
          <w:color w:val="8A6D3B"/>
          <w:sz w:val="17"/>
          <w:szCs w:val="17"/>
        </w:rPr>
        <w:t xml:space="preserve">2 weeks  ·  Spec Phase 5  ·  4 milestones · 13 tasks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Automate back-office work and communications. A durable job runner, scheduler, and declarative workflow engine drive indexing, embeddings, emails, and syncs; Notifications delivers consent-aware messages; CRM holds the canonical relationship record.</w:t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2F5D4E"/>
          <w:sz w:val="17"/>
          <w:szCs w:val="17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Implement Operations (§4.17): the workflow engine, durable jobs/queues, and scheduling.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Move Phase 4's interim inline indexing/embedding onto durable background jobs.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Implement Notifications (§4.15): channel adapters (email via Resend), templated in the design system, consent-enforced.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Implement CRM (§4.11): the canonical relationship record, segments, tags, and consent state.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Provide operational dashboards and job/workflow health with alerting.</w:t>
      </w:r>
    </w:p>
    <w:p>
      <w:pPr>
        <w:spacing w:after="120"/>
      </w:pPr>
      <w:r>
        <w:rPr>
          <w:rFonts w:ascii="Georgia" w:cs="Georgia" w:eastAsia="Georgia" w:hAnsi="Georgia"/>
          <w:color w:val="6B6B6B"/>
          <w:sz w:val="18"/>
          <w:szCs w:val="18"/>
        </w:rPr>
        <w:t xml:space="preserve">Full detail: 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05-phase-5-operations.docx</w:t>
      </w:r>
    </w:p>
    <w:p>
      <w:pPr>
        <w:pBdr>
          <w:bottom w:val="single" w:color="E5E2DA" w:sz="4"/>
        </w:pBdr>
        <w:spacing w:after="80"/>
      </w:pP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P6 — Commerce &amp; Payments</w:t>
      </w:r>
    </w:p>
    <w:p>
      <w:pPr>
        <w:spacing w:after="80"/>
      </w:pPr>
      <w:r>
        <w:rPr>
          <w:rFonts w:ascii="Segoe UI" w:cs="Segoe UI" w:eastAsia="Segoe UI" w:hAnsi="Segoe UI"/>
          <w:color w:val="8A6D3B"/>
          <w:sz w:val="17"/>
          <w:szCs w:val="17"/>
        </w:rPr>
        <w:t xml:space="preserve">2 weeks  ·  Spec Phase 6  ·  3 milestones · 10 tasks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Enable selling — physical, digital, and subscription — via headless Shopify, with Stripe for non-storefront flows (memberships, donations, fees). PCI scope and money-critical correctness stay with the providers; the platform owns the experience.</w:t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2F5D4E"/>
          <w:sz w:val="17"/>
          <w:szCs w:val="17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Implement Commerce (§4.5): headless Shopify catalog, cart, checkout orchestration, orders, and customers.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Implement Payments (§4.6): Stripe payment intents, subscriptions, invoices, and refunds for non-storefront flows.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Mirror Shopify products to CMS Product docs for editorial context (§8).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Support digital-product entitlement and subscription state; expose the marketplace extension seam.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Link commerce customers and payment records to Identity by id.</w:t>
      </w:r>
    </w:p>
    <w:p>
      <w:pPr>
        <w:spacing w:after="120"/>
      </w:pPr>
      <w:r>
        <w:rPr>
          <w:rFonts w:ascii="Georgia" w:cs="Georgia" w:eastAsia="Georgia" w:hAnsi="Georgia"/>
          <w:color w:val="6B6B6B"/>
          <w:sz w:val="18"/>
          <w:szCs w:val="18"/>
        </w:rPr>
        <w:t xml:space="preserve">Full detail: 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06-phase-6-commerce-payments.docx</w:t>
      </w:r>
    </w:p>
    <w:p>
      <w:pPr>
        <w:pBdr>
          <w:bottom w:val="single" w:color="E5E2DA" w:sz="4"/>
        </w:pBdr>
        <w:spacing w:after="80"/>
      </w:pP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P7 — Community, Courses &amp; Membership</w:t>
      </w:r>
    </w:p>
    <w:p>
      <w:pPr>
        <w:spacing w:after="80"/>
      </w:pPr>
      <w:r>
        <w:rPr>
          <w:rFonts w:ascii="Segoe UI" w:cs="Segoe UI" w:eastAsia="Segoe UI" w:hAnsi="Segoe UI"/>
          <w:color w:val="8A6D3B"/>
          <w:sz w:val="17"/>
          <w:szCs w:val="17"/>
        </w:rPr>
        <w:t xml:space="preserve">2 weeks  ·  Spec Phase 7  ·  3 milestones · 10 tasks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Turn audiences into members and learners. Membership tiers and entitlements, role-specific portals (Student, Practitioner, Research), Courses with progress and certificates, forums/events, and recognition — all composed from existing primitives.</w:t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2F5D4E"/>
          <w:sz w:val="17"/>
          <w:szCs w:val="17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Implement Membership (§4.14): tiers, entitlements, and lifecycle (join, renew, lapse).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Implement role-specific portals (Student, Practitioner, Research) as configured surfaces over shared primitives.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Implement Courses (§4.13): curriculum, enrolment, progress, assessment, and certificates.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Implement Community: forums/discussion, events, and recognition/badging, with AI moderation.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Compose — not rebuild — using Identity, Payments, Courses, Community, and Notifications.</w:t>
      </w:r>
    </w:p>
    <w:p>
      <w:pPr>
        <w:spacing w:after="120"/>
      </w:pPr>
      <w:r>
        <w:rPr>
          <w:rFonts w:ascii="Georgia" w:cs="Georgia" w:eastAsia="Georgia" w:hAnsi="Georgia"/>
          <w:color w:val="6B6B6B"/>
          <w:sz w:val="18"/>
          <w:szCs w:val="18"/>
        </w:rPr>
        <w:t xml:space="preserve">Full detail: 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07-phase-7-community-courses.docx</w:t>
      </w:r>
    </w:p>
    <w:p>
      <w:pPr>
        <w:pBdr>
          <w:bottom w:val="single" w:color="E5E2DA" w:sz="4"/>
        </w:pBdr>
        <w:spacing w:after="80"/>
      </w:pP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P8 — Research, Governance &amp; Internationalisation</w:t>
      </w:r>
    </w:p>
    <w:p>
      <w:pPr>
        <w:spacing w:after="80"/>
      </w:pPr>
      <w:r>
        <w:rPr>
          <w:rFonts w:ascii="Segoe UI" w:cs="Segoe UI" w:eastAsia="Segoe UI" w:hAnsi="Segoe UI"/>
          <w:color w:val="8A6D3B"/>
          <w:sz w:val="17"/>
          <w:szCs w:val="17"/>
        </w:rPr>
        <w:t xml:space="preserve">2 weeks  ·  Spec Phase 8  ·  3 milestones · 12 tasks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Add scholarship, the integrity constraint, and full multi-locale support. Governance activates the Integrity-Ledger veto over commercial and AI actions; the previously inert Governance hooks become live. Content localises fully, including RTL and multi-jurisdiction.</w:t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2F5D4E"/>
          <w:sz w:val="17"/>
          <w:szCs w:val="17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Implement Research (§4.18): outputs, datasets, citations, and provenance/source-grading metadata.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Implement Governance (§4.19): the Integrity Ledger, assertions, and permit()/veto over commercial and AI actions.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Activate the Governance hooks seeded inert in Phases 2, 4, and 6.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Implement full Translation &amp; i18n (§4.10): locale routing, catalogues, formatting, RTL, and jurisdiction profiles.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Complete AI-assisted translation coordinated with the CMS workflow.</w:t>
      </w:r>
    </w:p>
    <w:p>
      <w:pPr>
        <w:spacing w:after="120"/>
      </w:pPr>
      <w:r>
        <w:rPr>
          <w:rFonts w:ascii="Georgia" w:cs="Georgia" w:eastAsia="Georgia" w:hAnsi="Georgia"/>
          <w:color w:val="6B6B6B"/>
          <w:sz w:val="18"/>
          <w:szCs w:val="18"/>
        </w:rPr>
        <w:t xml:space="preserve">Full detail: 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08-phase-8-research-governance.docx</w:t>
      </w:r>
    </w:p>
    <w:p>
      <w:pPr>
        <w:pBdr>
          <w:bottom w:val="single" w:color="E5E2DA" w:sz="4"/>
        </w:pBdr>
        <w:spacing w:after="80"/>
      </w:pP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P9 — Generator, Docs &amp; Hardening</w:t>
      </w:r>
    </w:p>
    <w:p>
      <w:pPr>
        <w:spacing w:after="80"/>
      </w:pPr>
      <w:r>
        <w:rPr>
          <w:rFonts w:ascii="Segoe UI" w:cs="Segoe UI" w:eastAsia="Segoe UI" w:hAnsi="Segoe UI"/>
          <w:color w:val="8A6D3B"/>
          <w:sz w:val="17"/>
          <w:szCs w:val="17"/>
        </w:rPr>
        <w:t xml:space="preserve">2 weeks  ·  Spec Phase 9  ·  3 milestones · 12 tasks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Deliver create-institution, complete the ten-guide documentation set, and harden the platform. One command generates a production-ready institution passing every gate and deploying to a live preview. This phase makes the platform reusable.</w:t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2F5D4E"/>
          <w:sz w:val="17"/>
          <w:szCs w:val="17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Implement the create-institution CLI (§16) with industry presets and module selection.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Ensure a generated project ships the full baseline: design system, CMS, auth, SEO, analytics, media, operations, docs, testing.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Complete all ten documentation guides (§18) and example institutions.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Harden performance (§14) and security (§13) to production budgets across the platform.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Finalise release and migration workflows so institutions can upgrade safely.</w:t>
      </w:r>
    </w:p>
    <w:p>
      <w:pPr>
        <w:spacing w:after="120"/>
      </w:pPr>
      <w:r>
        <w:rPr>
          <w:rFonts w:ascii="Georgia" w:cs="Georgia" w:eastAsia="Georgia" w:hAnsi="Georgia"/>
          <w:color w:val="6B6B6B"/>
          <w:sz w:val="18"/>
          <w:szCs w:val="18"/>
        </w:rPr>
        <w:t xml:space="preserve">Full detail: 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09-phase-9-generator-hardening.docx</w:t>
      </w:r>
    </w:p>
    <w:p>
      <w:pPr>
        <w:pBdr>
          <w:bottom w:val="single" w:color="E5E2DA" w:sz="4"/>
        </w:pBd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8D8" w:sz="4"/>
      </w:pBdr>
      <w:tabs>
        <w:tab w:val="right" w:pos="9026"/>
      </w:tabs>
      <w:spacing w:before="40"/>
    </w:pPr>
    <w:r>
      <w:rPr>
        <w:rFonts w:ascii="Segoe UI" w:cs="Segoe UI" w:eastAsia="Segoe UI" w:hAnsi="Segoe UI"/>
        <w:color w:val="6B6B6B"/>
        <w:sz w:val="14"/>
        <w:szCs w:val="14"/>
      </w:rPr>
      <w:t xml:space="preserve">Confidential — Engineering Backlog</w:t>
    </w:r>
    <w:r>
      <w:rPr>
        <w:rFonts w:ascii="Segoe UI" w:cs="Segoe UI" w:eastAsia="Segoe UI" w:hAnsi="Segoe UI"/>
        <w:color w:val="6B6B6B"/>
        <w:sz w:val="14"/>
        <w:szCs w:val="14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8D8" w:sz="4"/>
      </w:pBdr>
      <w:tabs>
        <w:tab w:val="right" w:pos="9026"/>
      </w:tabs>
      <w:spacing w:after="40"/>
    </w:pPr>
    <w:r>
      <w:rPr>
        <w:rFonts w:ascii="Segoe UI" w:cs="Segoe UI" w:eastAsia="Segoe UI" w:hAnsi="Segoe UI"/>
        <w:color w:val="6B6B6B"/>
        <w:spacing w:val="20"/>
        <w:sz w:val="15"/>
        <w:szCs w:val="15"/>
      </w:rPr>
      <w:t xml:space="preserve">CONTINUUM PLATFORM  ·  Implementation Programme</w:t>
    </w:r>
    <w:r>
      <w:rPr>
        <w:rFonts w:ascii="Segoe UI" w:cs="Segoe UI" w:eastAsia="Segoe UI" w:hAnsi="Segoe UI"/>
        <w:color w:val="6B6B6B"/>
        <w:sz w:val="15"/>
        <w:szCs w:val="15"/>
      </w:rPr>
      <w:t xml:space="preserve">	Master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20"/>
      </w:pPr>
      <w:rPr>
        <w:color w:val="2F5D4E"/>
      </w:rPr>
    </w:lvl>
    <w:lvl w:ilvl="1" w15:tentative="1">
      <w:start w:val="1"/>
      <w:numFmt w:val="bullet"/>
      <w:lvlText w:val="·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b/>
        <w:bCs/>
        <w:color w:val="0A2B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Segoe UI" w:cs="Segoe UI" w:eastAsia="Segoe UI" w:hAnsi="Segoe UI"/>
      <w:b/>
      <w:bCs/>
      <w:color w:val="0A2B21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90" w:before="220"/>
      <w:outlineLvl w:val="1"/>
    </w:pPr>
    <w:rPr>
      <w:rFonts w:ascii="Segoe UI" w:cs="Segoe UI" w:eastAsia="Segoe UI" w:hAnsi="Segoe UI"/>
      <w:b/>
      <w:bCs/>
      <w:color w:val="2F5D4E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70" w:before="160"/>
      <w:outlineLvl w:val="2"/>
    </w:pPr>
    <w:rPr>
      <w:rFonts w:ascii="Segoe UI" w:cs="Segoe UI" w:eastAsia="Segoe UI" w:hAnsi="Segoe UI"/>
      <w:b/>
      <w:bCs/>
      <w:color w:val="1A1A1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Continuum Platform — Master Implementation Programme</dc:title>
  <dc:creator>Continuum Platform — Office of the Chief Platform Architect</dc:creator>
  <cp:lastModifiedBy>Un-named</cp:lastModifiedBy>
  <cp:revision>1</cp:revision>
  <dcterms:created xsi:type="dcterms:W3CDTF">2026-07-06T08:31:33.623Z</dcterms:created>
  <dcterms:modified xsi:type="dcterms:W3CDTF">2026-07-06T08:31:33.636Z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