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4E5C"/>
          <w:sz w:val="52"/>
          <w:szCs w:val="52"/>
        </w:rPr>
        <w:t xml:space="preserve">SUNNAH REMEDIES</w:t>
      </w:r>
    </w:p>
    <w:p>
      <w:pPr>
        <w:spacing w:after="300"/>
        <w:jc w:val="center"/>
      </w:pPr>
      <w:r>
        <w:rPr>
          <w:color w:val="8A6D3B"/>
          <w:sz w:val="30"/>
          <w:szCs w:val="30"/>
        </w:rPr>
        <w:t xml:space="preserve">Certified Hijama Practitioner Programme</w:t>
      </w:r>
    </w:p>
    <w:p>
      <w:pPr>
        <w:spacing w:after="80"/>
        <w:jc w:val="center"/>
      </w:pPr>
      <w:r>
        <w:rPr>
          <w:b/>
          <w:bCs/>
          <w:sz w:val="36"/>
          <w:szCs w:val="36"/>
        </w:rPr>
        <w:t xml:space="preserve">MEDIA PRODUCTION BLUEPRINT</w:t>
      </w:r>
    </w:p>
    <w:p>
      <w:pPr>
        <w:spacing w:after="60"/>
        <w:jc w:val="center"/>
      </w:pPr>
      <w:r>
        <w:rPr>
          <w:sz w:val="22"/>
          <w:szCs w:val="22"/>
        </w:rPr>
        <w:t xml:space="preserve">Visual Learning Design · Asset Specification · Production Brief</w:t>
      </w:r>
    </w:p>
    <w:p>
      <w:pPr>
        <w:spacing w:after="400"/>
        <w:jc w:val="center"/>
      </w:pPr>
      <w:r>
        <w:rPr>
          <w:i/>
          <w:iCs/>
          <w:color w:val="666666"/>
          <w:sz w:val="18"/>
          <w:szCs w:val="18"/>
        </w:rPr>
        <w:t xml:space="preserve">Prepared by the Head of Learning Experience Design</w:t>
      </w:r>
    </w:p>
    <w:p>
      <w:pPr>
        <w:spacing w:after="60"/>
        <w:jc w:val="center"/>
      </w:pPr>
      <w:r>
        <w:rPr>
          <w:color w:val="666666"/>
          <w:sz w:val="18"/>
          <w:szCs w:val="18"/>
        </w:rPr>
        <w:t xml:space="preserve">A complete brief for photographers, medical illustrators, motion designers,</w:t>
      </w:r>
    </w:p>
    <w:p>
      <w:pPr>
        <w:spacing w:after="60"/>
        <w:jc w:val="center"/>
      </w:pPr>
      <w:r>
        <w:rPr>
          <w:color w:val="666666"/>
          <w:sz w:val="18"/>
          <w:szCs w:val="18"/>
        </w:rPr>
        <w:t xml:space="preserve">videographers, and instructional designers building a £1,500–£3,000 healthcare qualification experience.</w:t>
      </w:r>
    </w:p>
    <w:p>
      <w:r>
        <w:br w:type="page"/>
      </w:r>
    </w:p>
    <w:p>
      <w:pPr>
        <w:pStyle w:val="Heading1"/>
      </w:pPr>
      <w:r>
        <w:t xml:space="preserve">How to Use This Blueprint</w:t>
      </w:r>
    </w:p>
    <w:p>
      <w:pPr>
        <w:spacing w:after="140"/>
      </w:pPr>
      <w:r>
        <w:t xml:space="preserve">This document is a production brief, not a rewrite of the curriculum. The curriculum and lesson text already exist and are not changed here. The purpose of this blueprint is to specify, in commissionable detail, every visual and interactive asset required to deliver the programme as a premium online healthcare qualification — the kind of experience a student would expect from a medical school, a nursing programme, or an accredited professional academy.</w:t>
      </w:r>
    </w:p>
    <w:p>
      <w:pPr>
        <w:spacing w:after="140"/>
      </w:pPr>
      <w:r>
        <w:t xml:space="preserve">It is written so that each section can be handed directly to the relevant production specialist. Photography briefs can go to a photographer; illustration briefs to a medical illustrator; motion briefs to an animation studio; video briefs to a clinical videographer and director; interaction briefs to the learning-platform developer. Every asset is described precisely enough to be quoted, scheduled, and produced without further clarification.</w:t>
      </w:r>
    </w:p>
    <w:p>
      <w:pPr>
        <w:pStyle w:val="Heading2"/>
      </w:pPr>
      <w:r>
        <w:t xml:space="preserve">Document structure</w:t>
      </w:r>
    </w:p>
    <w:p>
      <w:pPr>
        <w:pStyle w:val="ListParagraph"/>
        <w:numPr>
          <w:ilvl w:val="0"/>
          <w:numId w:val="2"/>
        </w:numPr>
        <w:spacing w:after="90"/>
      </w:pPr>
      <w:r>
        <w:rPr>
          <w:b/>
          <w:bCs/>
          <w:color w:val="1F4E5C"/>
        </w:rPr>
        <w:t xml:space="preserve">Part A — Production Standards — </w:t>
      </w:r>
      <w:r>
        <w:t xml:space="preserve">The house style, technical specifications, and quality bar that every asset must meet, so the whole programme feels like one premium product.</w:t>
      </w:r>
    </w:p>
    <w:p>
      <w:pPr>
        <w:pStyle w:val="ListParagraph"/>
        <w:numPr>
          <w:ilvl w:val="0"/>
          <w:numId w:val="2"/>
        </w:numPr>
        <w:spacing w:after="90"/>
      </w:pPr>
      <w:r>
        <w:rPr>
          <w:b/>
          <w:bCs/>
          <w:color w:val="1F4E5C"/>
        </w:rPr>
        <w:t xml:space="preserve">Part B — Module Media Schedules — </w:t>
      </w:r>
      <w:r>
        <w:t xml:space="preserve">For each of the 16 modules, the ten required asset classes you specified: professional photography, anatomical diagrams, infographics, charts and graphs, statistics and research visualisations, educational animations, practical demonstration videos, downloadable resources, worksheets, and assessment assets.</w:t>
      </w:r>
    </w:p>
    <w:p>
      <w:pPr>
        <w:pStyle w:val="ListParagraph"/>
        <w:numPr>
          <w:ilvl w:val="0"/>
          <w:numId w:val="2"/>
        </w:numPr>
        <w:spacing w:after="90"/>
      </w:pPr>
      <w:r>
        <w:rPr>
          <w:b/>
          <w:bCs/>
          <w:color w:val="1F4E5C"/>
        </w:rPr>
        <w:t xml:space="preserve">Part C — Module 1 Lesson-by-Lesson Brief — </w:t>
      </w:r>
      <w:r>
        <w:t xml:space="preserve">A fully worked, exhaustive example covering all four Module 1 lessons at the level of detail you requested for every lesson: visual assets, exact image descriptions, exact infographic descriptions, exact chart descriptions, exact video content, research callout boxes, clinical pearls, evidence summaries, and knowledge-check interactions. This is the template the team will replicate for Modules 2–16.</w:t>
      </w:r>
    </w:p>
    <w:p>
      <w:pPr>
        <w:pStyle w:val="ListParagraph"/>
        <w:numPr>
          <w:ilvl w:val="0"/>
          <w:numId w:val="2"/>
        </w:numPr>
        <w:spacing w:after="90"/>
      </w:pPr>
      <w:r>
        <w:rPr>
          <w:b/>
          <w:bCs/>
          <w:color w:val="1F4E5C"/>
        </w:rPr>
        <w:t xml:space="preserve">Part D — Production Roadmap — </w:t>
      </w:r>
      <w:r>
        <w:t xml:space="preserve">Asset volumes, sequencing, reusability strategy, and the governance that keeps clinical accuracy and the premium feel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A note on safety-critical visuals</w:t>
            </w:r>
          </w:p>
          <w:p>
            <w:pPr>
              <w:spacing w:after="40"/>
            </w:pPr>
            <w:r>
              <w:t xml:space="preserve">Wet cupping breaks the skin and is a bloodborne-pathogen context. Every photograph, animation, and video that depicts incision, blood, sharps, or waste handling must be reviewed and signed off by the clinical lead before publication, and must model flawless technique. A single frame showing poor practice teaches poor practice. Safety-critical media is flagged throughout this blueprint with the marker [CLINICAL SIGN-OFF].</w:t>
            </w:r>
          </w:p>
        </w:tc>
      </w:tr>
    </w:tbl>
    <w:p>
      <w:r>
        <w:br w:type="page"/>
      </w:r>
    </w:p>
    <w:p>
      <w:pPr>
        <w:pStyle w:val="Heading1"/>
      </w:pPr>
      <w:r>
        <w:t xml:space="preserve">Blueprint Contents</w:t>
      </w:r>
    </w:p>
    <w:sdt>
      <w:sdtPr>
        <w:alias w:val="Blueprint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Production Standards</w:t>
      </w:r>
    </w:p>
    <w:p>
      <w:pPr>
        <w:spacing w:after="140"/>
      </w:pPr>
      <w:r>
        <w:t xml:space="preserve">Before any single asset is produced, the team must agree the house style that makes sixteen modules feel like one coherent, premium qualification. Inconsistency is the fastest way to make an expensive programme look cheap. The following standards are mandatory for every asset class.</w:t>
      </w:r>
    </w:p>
    <w:p>
      <w:pPr>
        <w:pStyle w:val="Heading2"/>
      </w:pPr>
      <w:r>
        <w:t xml:space="preserve">A1. Visual identity</w:t>
      </w:r>
    </w:p>
    <w:p>
      <w:pPr>
        <w:pStyle w:val="ListParagraph"/>
        <w:numPr>
          <w:ilvl w:val="0"/>
          <w:numId w:val="2"/>
        </w:numPr>
        <w:spacing w:after="90"/>
      </w:pPr>
      <w:r>
        <w:rPr>
          <w:b/>
          <w:bCs/>
          <w:color w:val="1F4E5C"/>
        </w:rPr>
        <w:t xml:space="preserve">Colour system — </w:t>
      </w:r>
      <w:r>
        <w:t xml:space="preserve">Deep teal (#1F4E5C) as the primary brand colour, muted gold (#8A6D3B) as the accent, warm parchment (#F3EEE3) and pale teal (#E7EFF1) for backgrounds and callouts. Clinical photography and anatomy retain natural colour; brand colour appears only in frames, labels, lower-thirds, and UI.</w:t>
      </w:r>
    </w:p>
    <w:p>
      <w:pPr>
        <w:pStyle w:val="ListParagraph"/>
        <w:numPr>
          <w:ilvl w:val="0"/>
          <w:numId w:val="2"/>
        </w:numPr>
        <w:spacing w:after="90"/>
      </w:pPr>
      <w:r>
        <w:rPr>
          <w:b/>
          <w:bCs/>
          <w:color w:val="1F4E5C"/>
        </w:rPr>
        <w:t xml:space="preserve">Typography — </w:t>
      </w:r>
      <w:r>
        <w:t xml:space="preserve">One serif for long-form reading (e.g. Georgia or a licensed equivalent) and one humanist sans-serif for labels, captions, and on-screen text. No more than two families across the whole programme. Numerals in charts always lining, never old-style.</w:t>
      </w:r>
    </w:p>
    <w:p>
      <w:pPr>
        <w:pStyle w:val="ListParagraph"/>
        <w:numPr>
          <w:ilvl w:val="0"/>
          <w:numId w:val="2"/>
        </w:numPr>
        <w:spacing w:after="90"/>
      </w:pPr>
      <w:r>
        <w:rPr>
          <w:b/>
          <w:bCs/>
          <w:color w:val="1F4E5C"/>
        </w:rPr>
        <w:t xml:space="preserve">Logo &amp; watermark — </w:t>
      </w:r>
      <w:r>
        <w:t xml:space="preserve">A discreet Sunnah Remedies wordmark bottom-right on every diagram, infographic, and video lower-third, at low opacity so it signals provenance without distracting. Never centred or oversized.</w:t>
      </w:r>
    </w:p>
    <w:p>
      <w:pPr>
        <w:pStyle w:val="ListParagraph"/>
        <w:numPr>
          <w:ilvl w:val="0"/>
          <w:numId w:val="2"/>
        </w:numPr>
        <w:spacing w:after="90"/>
      </w:pPr>
      <w:r>
        <w:rPr>
          <w:b/>
          <w:bCs/>
          <w:color w:val="1F4E5C"/>
        </w:rPr>
        <w:t xml:space="preserve">Tone of imagery — </w:t>
      </w:r>
      <w:r>
        <w:t xml:space="preserve">Calm, clinical, dignified, and warm. Bright, even, soft lighting. Uncluttered backgrounds. The visual world should feel like a modern private clinic, not a spa and not a stock-photo wellness brand.</w:t>
      </w:r>
    </w:p>
    <w:p>
      <w:pPr>
        <w:pStyle w:val="Heading2"/>
      </w:pPr>
      <w:r>
        <w:t xml:space="preserve">A2.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Asset class</w:t>
            </w:r>
          </w:p>
        </w:tc>
        <w:tc>
          <w:tcPr>
            <w:tcW w:type="dxa" w:w="37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Format &amp; resolution</w:t>
            </w:r>
          </w:p>
        </w:tc>
        <w:tc>
          <w:tcPr>
            <w:tcW w:type="dxa" w:w="3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Photography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JPEG/WEBP, min 2400px long edge, sRGB</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Shot RAW, delivered colour-graded; 16:9 and 1:1 crops of every hero image</w:t>
            </w:r>
          </w:p>
        </w:tc>
      </w:tr>
      <w:tr>
        <w:tc>
          <w:tcPr>
            <w:tcW w:type="dxa" w:w="2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Diagrams / infographics</w:t>
            </w:r>
          </w:p>
        </w:tc>
        <w:tc>
          <w:tcPr>
            <w:tcW w:type="dxa" w:w="37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Layered SVG + flattened PNG @2x</w:t>
            </w:r>
          </w:p>
        </w:tc>
        <w:tc>
          <w:tcPr>
            <w:tcW w:type="dxa" w:w="32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Vector master so labels can be localised and updated without re-drawing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Charts / data viz</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SVG from a live data source where possible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Source data stored alongside so figures can be refreshed as evidence updates</w:t>
            </w:r>
          </w:p>
        </w:tc>
      </w:tr>
      <w:tr>
        <w:tc>
          <w:tcPr>
            <w:tcW w:type="dxa" w:w="2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Animation</w:t>
            </w:r>
          </w:p>
        </w:tc>
        <w:tc>
          <w:tcPr>
            <w:tcW w:type="dxa" w:w="37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MP4 H.264 1080p + captioned; source project archived</w:t>
            </w:r>
          </w:p>
        </w:tc>
        <w:tc>
          <w:tcPr>
            <w:tcW w:type="dxa" w:w="32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Silent-legible: must teach with sound off via on-screen text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Demonstration video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MP4 H.264 1080p (4K master), stereo VO, burned-in + sidecar captions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Multi-angle; chaptered; reviewed for clinical accuracy</w:t>
            </w:r>
          </w:p>
        </w:tc>
      </w:tr>
      <w:tr>
        <w:tc>
          <w:tcPr>
            <w:tcW w:type="dxa" w:w="24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Documents / worksheets</w:t>
            </w:r>
          </w:p>
        </w:tc>
        <w:tc>
          <w:tcPr>
            <w:tcW w:type="dxa" w:w="376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Accessible tagged PDF + editable source</w:t>
            </w:r>
          </w:p>
        </w:tc>
        <w:tc>
          <w:tcPr>
            <w:tcW w:type="dxa" w:w="32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Brand-templated; print-clean at A4; fillable where interactive</w:t>
            </w:r>
          </w:p>
        </w:tc>
      </w:tr>
    </w:tbl>
    <w:p>
      <w:pPr>
        <w:pStyle w:val="Heading2"/>
      </w:pPr>
      <w:r>
        <w:t xml:space="preserve">A3. Accessibility (non-negotiable for a premium claim)</w:t>
      </w:r>
    </w:p>
    <w:p>
      <w:pPr>
        <w:pStyle w:val="ListParagraph"/>
        <w:numPr>
          <w:ilvl w:val="0"/>
          <w:numId w:val="2"/>
        </w:numPr>
      </w:pPr>
      <w:r>
        <w:t xml:space="preserve">Every video fully captioned and supplied with a transcript; key demonstrations also offered with audio description.</w:t>
      </w:r>
    </w:p>
    <w:p>
      <w:pPr>
        <w:pStyle w:val="ListParagraph"/>
        <w:numPr>
          <w:ilvl w:val="0"/>
          <w:numId w:val="2"/>
        </w:numPr>
      </w:pPr>
      <w:r>
        <w:t xml:space="preserve">Every diagram and chart carries alt text and a short text-equivalent description, so screen-reader users receive the same teaching.</w:t>
      </w:r>
    </w:p>
    <w:p>
      <w:pPr>
        <w:pStyle w:val="ListParagraph"/>
        <w:numPr>
          <w:ilvl w:val="0"/>
          <w:numId w:val="2"/>
        </w:numPr>
      </w:pPr>
      <w:r>
        <w:t xml:space="preserve">Colour is never the only carrier of meaning; charts use pattern/label as well as hue, and all palettes pass WCAG AA contrast.</w:t>
      </w:r>
    </w:p>
    <w:p>
      <w:pPr>
        <w:pStyle w:val="ListParagraph"/>
        <w:numPr>
          <w:ilvl w:val="0"/>
          <w:numId w:val="2"/>
        </w:numPr>
      </w:pPr>
      <w:r>
        <w:t xml:space="preserve">Anatomical and clinical imagery represents a range of skin tones — essential both for inclusivity and for clinical accuracy in reading the skin.</w:t>
      </w:r>
    </w:p>
    <w:p>
      <w:pPr>
        <w:pStyle w:val="Heading2"/>
      </w:pPr>
      <w:r>
        <w:t xml:space="preserve">A4. Clinical-accuracy governance</w:t>
      </w:r>
    </w:p>
    <w:p>
      <w:pPr>
        <w:spacing w:after="140"/>
      </w:pPr>
      <w:r>
        <w:t xml:space="preserve">Authority is the product. Every clinically meaningful asset passes a two-stage review: a subject-matter review by the clinical lead for accuracy and safety, and a learning-design review for pedagogical clarity. Assets depicting incision, blood, sharps, or waste carry the [CLINICAL SIGN-OFF] marker and cannot be published without documented approval. Where the curriculum makes an evidence claim, the supporting reference is captured in the asset's metadata so the claim can be defended and updated.</w:t>
      </w:r>
    </w:p>
    <w:p>
      <w:pPr>
        <w:pStyle w:val="Heading2"/>
      </w:pPr>
      <w:r>
        <w:t xml:space="preserve">A5. The ten asset classes, defined</w:t>
      </w:r>
    </w:p>
    <w:p>
      <w:pPr>
        <w:spacing w:after="140"/>
      </w:pPr>
      <w:r>
        <w:t xml:space="preserve">Throughout Part B, each module is specified against the ten classes you require. So the briefs read consistently, the classes mean the following:</w:t>
      </w:r>
    </w:p>
    <w:p>
      <w:pPr>
        <w:pStyle w:val="ListParagraph"/>
        <w:numPr>
          <w:ilvl w:val="1"/>
          <w:numId w:val="2"/>
        </w:numPr>
        <w:spacing w:after="70"/>
      </w:pPr>
      <w:r>
        <w:rPr>
          <w:b/>
          <w:bCs/>
        </w:rPr>
        <w:t xml:space="preserve">Professional photography: </w:t>
      </w:r>
      <w:r>
        <w:t xml:space="preserve">Commissioned, art-directed stills of practitioners, equipment, premises, and procedure — never generic stock.</w:t>
      </w:r>
    </w:p>
    <w:p>
      <w:pPr>
        <w:pStyle w:val="ListParagraph"/>
        <w:numPr>
          <w:ilvl w:val="1"/>
          <w:numId w:val="2"/>
        </w:numPr>
        <w:spacing w:after="70"/>
      </w:pPr>
      <w:r>
        <w:rPr>
          <w:b/>
          <w:bCs/>
        </w:rPr>
        <w:t xml:space="preserve">Anatomical diagrams: </w:t>
      </w:r>
      <w:r>
        <w:t xml:space="preserve">Medically accurate, labelled illustrations of structures and their clinical relevance to cupping.</w:t>
      </w:r>
    </w:p>
    <w:p>
      <w:pPr>
        <w:pStyle w:val="ListParagraph"/>
        <w:numPr>
          <w:ilvl w:val="1"/>
          <w:numId w:val="2"/>
        </w:numPr>
        <w:spacing w:after="70"/>
      </w:pPr>
      <w:r>
        <w:rPr>
          <w:b/>
          <w:bCs/>
        </w:rPr>
        <w:t xml:space="preserve">Infographics: </w:t>
      </w:r>
      <w:r>
        <w:t xml:space="preserve">Designed explainers that turn a process, comparison, or rule-set into a single legible visual.</w:t>
      </w:r>
    </w:p>
    <w:p>
      <w:pPr>
        <w:pStyle w:val="ListParagraph"/>
        <w:numPr>
          <w:ilvl w:val="1"/>
          <w:numId w:val="2"/>
        </w:numPr>
        <w:spacing w:after="70"/>
      </w:pPr>
      <w:r>
        <w:rPr>
          <w:b/>
          <w:bCs/>
        </w:rPr>
        <w:t xml:space="preserve">Charts &amp; graphs: </w:t>
      </w:r>
      <w:r>
        <w:t xml:space="preserve">Quantitative visuals: timings, dosages, frequencies, comparisons, decision thresholds.</w:t>
      </w:r>
    </w:p>
    <w:p>
      <w:pPr>
        <w:pStyle w:val="ListParagraph"/>
        <w:numPr>
          <w:ilvl w:val="1"/>
          <w:numId w:val="2"/>
        </w:numPr>
        <w:spacing w:after="70"/>
      </w:pPr>
      <w:r>
        <w:rPr>
          <w:b/>
          <w:bCs/>
        </w:rPr>
        <w:t xml:space="preserve">Statistics &amp; research visualisations: </w:t>
      </w:r>
      <w:r>
        <w:t xml:space="preserve">Honest, evidence-graded displays of what the research does and does not show.</w:t>
      </w:r>
    </w:p>
    <w:p>
      <w:pPr>
        <w:pStyle w:val="ListParagraph"/>
        <w:numPr>
          <w:ilvl w:val="1"/>
          <w:numId w:val="2"/>
        </w:numPr>
        <w:spacing w:after="70"/>
      </w:pPr>
      <w:r>
        <w:rPr>
          <w:b/>
          <w:bCs/>
        </w:rPr>
        <w:t xml:space="preserve">Educational animations: </w:t>
      </w:r>
      <w:r>
        <w:t xml:space="preserve">Motion pieces for processes that are hard to photograph: physiology, suction mechanics, pathogen transmission.</w:t>
      </w:r>
    </w:p>
    <w:p>
      <w:pPr>
        <w:pStyle w:val="ListParagraph"/>
        <w:numPr>
          <w:ilvl w:val="1"/>
          <w:numId w:val="2"/>
        </w:numPr>
        <w:spacing w:after="70"/>
      </w:pPr>
      <w:r>
        <w:rPr>
          <w:b/>
          <w:bCs/>
        </w:rPr>
        <w:t xml:space="preserve">Practical demonstration videos: </w:t>
      </w:r>
      <w:r>
        <w:t xml:space="preserve">Filmed, narrated, multi-angle demonstrations of technique to a clinical standard.</w:t>
      </w:r>
    </w:p>
    <w:p>
      <w:pPr>
        <w:pStyle w:val="ListParagraph"/>
        <w:numPr>
          <w:ilvl w:val="1"/>
          <w:numId w:val="2"/>
        </w:numPr>
        <w:spacing w:after="70"/>
      </w:pPr>
      <w:r>
        <w:rPr>
          <w:b/>
          <w:bCs/>
        </w:rPr>
        <w:t xml:space="preserve">Downloadable resources: </w:t>
      </w:r>
      <w:r>
        <w:t xml:space="preserve">Take-away PDFs: protocols, checklists, reference cards, templates.</w:t>
      </w:r>
    </w:p>
    <w:p>
      <w:pPr>
        <w:pStyle w:val="ListParagraph"/>
        <w:numPr>
          <w:ilvl w:val="1"/>
          <w:numId w:val="2"/>
        </w:numPr>
        <w:spacing w:after="70"/>
      </w:pPr>
      <w:r>
        <w:rPr>
          <w:b/>
          <w:bCs/>
        </w:rPr>
        <w:t xml:space="preserve">Worksheets: </w:t>
      </w:r>
      <w:r>
        <w:t xml:space="preserve">Active-learning documents the student completes — reflection, planning, self-audit.</w:t>
      </w:r>
    </w:p>
    <w:p>
      <w:pPr>
        <w:pStyle w:val="ListParagraph"/>
        <w:numPr>
          <w:ilvl w:val="1"/>
          <w:numId w:val="2"/>
        </w:numPr>
        <w:spacing w:after="70"/>
      </w:pPr>
      <w:r>
        <w:rPr>
          <w:b/>
          <w:bCs/>
        </w:rPr>
        <w:t xml:space="preserve">Assessment assets: </w:t>
      </w:r>
      <w:r>
        <w:t xml:space="preserve">The visual and interactive components of quizzes, OSCE checklists, logbooks, and exams.</w:t>
      </w:r>
    </w:p>
    <w:p>
      <w:r>
        <w:br w:type="page"/>
      </w:r>
    </w:p>
    <w:p>
      <w:pPr>
        <w:pStyle w:val="Heading1"/>
      </w:pPr>
      <w:r>
        <w:t xml:space="preserve">Part B — Module Media Schedules</w:t>
      </w:r>
    </w:p>
    <w:p>
      <w:pPr>
        <w:spacing w:after="140"/>
      </w:pPr>
      <w:r>
        <w:t xml:space="preserve">Each module below is specified against all ten asset classes. The briefs are written to be commissionable: a producer should be able to read an entry, scope it, and assign it. Cross-references (e.g. “reuse M3 asset”) prevent duplicate production and keep the visual language consistent across the programme.</w:t>
      </w:r>
    </w:p>
    <w:p>
      <w:r>
        <w:br w:type="page"/>
      </w:r>
    </w:p>
    <w:p>
      <w:pPr>
        <w:pStyle w:val="Heading1"/>
      </w:pPr>
      <w:r>
        <w:t xml:space="preserve">M1 — Introduction to Hijama &amp; the History of Cupping Therapy</w:t>
      </w:r>
    </w:p>
    <w:p>
      <w:pPr>
        <w:spacing w:after="140"/>
      </w:pPr>
      <w:r>
        <w:rPr>
          <w:i/>
          <w:iCs/>
          <w:color w:val="666666"/>
        </w:rPr>
        <w:t xml:space="preserve">The student's first impression of the whole programme. Every asset here must signal seriousness, lineage, and safety — this module sets the £1,500–£3,000 expectation. (Fully expanded lesson-by-lesson in Part C.)</w:t>
      </w:r>
    </w:p>
    <w:p>
      <w:pPr>
        <w:pStyle w:val="Heading2"/>
      </w:pPr>
      <w:r>
        <w:t xml:space="preserve">1. Required professional photography</w:t>
      </w:r>
    </w:p>
    <w:p>
      <w:pPr>
        <w:pStyle w:val="ListParagraph"/>
        <w:numPr>
          <w:ilvl w:val="0"/>
          <w:numId w:val="2"/>
        </w:numPr>
        <w:spacing w:after="90"/>
      </w:pPr>
      <w:r>
        <w:rPr>
          <w:b/>
          <w:bCs/>
          <w:color w:val="1F4E5C"/>
        </w:rPr>
        <w:t xml:space="preserve">Hero portrait — </w:t>
      </w:r>
      <w:r>
        <w:t xml:space="preserve">A composed, softly lit portrait of a practitioner in clean clinical attire in a modern treatment room, used as the programme's signature image and the Module 1 landing hero. 16:9 and 1:1 crops.</w:t>
      </w:r>
    </w:p>
    <w:p>
      <w:pPr>
        <w:pStyle w:val="ListParagraph"/>
        <w:numPr>
          <w:ilvl w:val="0"/>
          <w:numId w:val="2"/>
        </w:numPr>
        <w:spacing w:after="90"/>
      </w:pPr>
      <w:r>
        <w:rPr>
          <w:b/>
          <w:bCs/>
          <w:color w:val="1F4E5C"/>
        </w:rPr>
        <w:t xml:space="preserve">Equipment still-life — </w:t>
      </w:r>
      <w:r>
        <w:t xml:space="preserve">An overhead flat-lay of dry and wet cupping equipment — glass, plastic pump cups, sterile single-use packs — arranged on a clean clinical surface, for the modalities lesson.</w:t>
      </w:r>
    </w:p>
    <w:p>
      <w:pPr>
        <w:pStyle w:val="ListParagraph"/>
        <w:numPr>
          <w:ilvl w:val="0"/>
          <w:numId w:val="2"/>
        </w:numPr>
        <w:spacing w:after="90"/>
      </w:pPr>
      <w:r>
        <w:rPr>
          <w:b/>
          <w:bCs/>
          <w:color w:val="1F4E5C"/>
        </w:rPr>
        <w:t xml:space="preserve">Dry vs wet comparison pair — </w:t>
      </w:r>
      <w:r>
        <w:t xml:space="preserve">Two matched photographs: one back showing dry-cupping circular marks (intact skin), one set up for wet cupping with single-use blade pack visible but no incision shown, to anchor the defining distinction.</w:t>
      </w:r>
    </w:p>
    <w:p>
      <w:pPr>
        <w:pStyle w:val="ListParagraph"/>
        <w:numPr>
          <w:ilvl w:val="0"/>
          <w:numId w:val="2"/>
        </w:numPr>
        <w:spacing w:after="90"/>
      </w:pPr>
      <w:r>
        <w:rPr>
          <w:b/>
          <w:bCs/>
          <w:color w:val="1F4E5C"/>
        </w:rPr>
        <w:t xml:space="preserve">Heritage texture set — </w:t>
      </w:r>
      <w:r>
        <w:t xml:space="preserve">Dignified detail shots — aged manuscript paper, a traditional horn and a brass cup beside a modern plastic pump cup — to illustrate the instruments-through-history section without theatricality.</w:t>
      </w:r>
    </w:p>
    <w:p>
      <w:pPr>
        <w:pStyle w:val="Heading2"/>
      </w:pPr>
      <w:r>
        <w:t xml:space="preserve">2. Required anatomical diagrams</w:t>
      </w:r>
    </w:p>
    <w:p>
      <w:pPr>
        <w:pStyle w:val="ListParagraph"/>
        <w:numPr>
          <w:ilvl w:val="0"/>
          <w:numId w:val="2"/>
        </w:numPr>
        <w:spacing w:after="90"/>
      </w:pPr>
      <w:r>
        <w:rPr>
          <w:b/>
          <w:bCs/>
          <w:color w:val="1F4E5C"/>
        </w:rPr>
        <w:t xml:space="preserve">Skin cross-section (intro level) — </w:t>
      </w:r>
      <w:r>
        <w:t xml:space="preserve">A simple labelled cross-section of skin showing epidermis, dermis, and the superficial vessels relevant to cupping marks; the gentle introduction to the full version in M3.</w:t>
      </w:r>
    </w:p>
    <w:p>
      <w:pPr>
        <w:pStyle w:val="ListParagraph"/>
        <w:numPr>
          <w:ilvl w:val="0"/>
          <w:numId w:val="2"/>
        </w:numPr>
        <w:spacing w:after="90"/>
      </w:pPr>
      <w:r>
        <w:rPr>
          <w:b/>
          <w:bCs/>
          <w:color w:val="1F4E5C"/>
        </w:rPr>
        <w:t xml:space="preserve">Suction-on-tissue schematic — </w:t>
      </w:r>
      <w:r>
        <w:t xml:space="preserve">A side-view illustration of a cup under negative pressure lifting skin and superficial fascia, with the rise of underlying tissue and capillary response indicated.</w:t>
      </w:r>
    </w:p>
    <w:p>
      <w:pPr>
        <w:pStyle w:val="Heading2"/>
      </w:pPr>
      <w:r>
        <w:t xml:space="preserve">3. Required infographics</w:t>
      </w:r>
    </w:p>
    <w:p>
      <w:pPr>
        <w:pStyle w:val="ListParagraph"/>
        <w:numPr>
          <w:ilvl w:val="0"/>
          <w:numId w:val="2"/>
        </w:numPr>
        <w:spacing w:after="90"/>
      </w:pPr>
      <w:r>
        <w:rPr>
          <w:b/>
          <w:bCs/>
          <w:color w:val="1F4E5C"/>
        </w:rPr>
        <w:t xml:space="preserve">Modalities family tree — </w:t>
      </w:r>
      <w:r>
        <w:t xml:space="preserve">A single visual placing 'cupping' as the family, branching to dry (fixed, flash, moving/glide, oil) and wet (Hijama), with the skin-broken / skin-intact line drawn boldly across the middle.</w:t>
      </w:r>
    </w:p>
    <w:p>
      <w:pPr>
        <w:pStyle w:val="ListParagraph"/>
        <w:numPr>
          <w:ilvl w:val="0"/>
          <w:numId w:val="2"/>
        </w:numPr>
        <w:spacing w:after="90"/>
      </w:pPr>
      <w:r>
        <w:rPr>
          <w:b/>
          <w:bCs/>
          <w:color w:val="1F4E5C"/>
        </w:rPr>
        <w:t xml:space="preserve">Terminology card — </w:t>
      </w:r>
      <w:r>
        <w:t xml:space="preserve">A clean reference panel defining Hijama, dry cupping, wet cupping, and the umbrella term, in the exact wording students are held to.</w:t>
      </w:r>
    </w:p>
    <w:p>
      <w:pPr>
        <w:pStyle w:val="ListParagraph"/>
        <w:numPr>
          <w:ilvl w:val="0"/>
          <w:numId w:val="2"/>
        </w:numPr>
        <w:spacing w:after="90"/>
      </w:pPr>
      <w:r>
        <w:rPr>
          <w:b/>
          <w:bCs/>
          <w:color w:val="1F4E5C"/>
        </w:rPr>
        <w:t xml:space="preserve">Scope-of-practice boundary — </w:t>
      </w:r>
      <w:r>
        <w:t xml:space="preserve">A 'within scope / refer instead' two-column visual introducing the boundary concept reused across the programme.</w:t>
      </w:r>
    </w:p>
    <w:p>
      <w:pPr>
        <w:pStyle w:val="Heading2"/>
      </w:pPr>
      <w:r>
        <w:t xml:space="preserve">4. Required charts &amp; graphs</w:t>
      </w:r>
    </w:p>
    <w:p>
      <w:pPr>
        <w:pStyle w:val="ListParagraph"/>
        <w:numPr>
          <w:ilvl w:val="0"/>
          <w:numId w:val="2"/>
        </w:numPr>
        <w:spacing w:after="90"/>
      </w:pPr>
      <w:r>
        <w:rPr>
          <w:b/>
          <w:bCs/>
          <w:color w:val="1F4E5C"/>
        </w:rPr>
        <w:t xml:space="preserve">Cupping timeline — </w:t>
      </w:r>
      <w:r>
        <w:t xml:space="preserve">A horizontal timeline from ~1550 BCE (Ebers Papyrus) through Greco-Roman, East Asian, Persian/Islamic, European, to the modern revival, with traditions colour-coded.</w:t>
      </w:r>
    </w:p>
    <w:p>
      <w:pPr>
        <w:pStyle w:val="ListParagraph"/>
        <w:numPr>
          <w:ilvl w:val="0"/>
          <w:numId w:val="2"/>
        </w:numPr>
        <w:spacing w:after="90"/>
      </w:pPr>
      <w:r>
        <w:rPr>
          <w:b/>
          <w:bCs/>
          <w:color w:val="1F4E5C"/>
        </w:rPr>
        <w:t xml:space="preserve">Risk-profile bar — </w:t>
      </w:r>
      <w:r>
        <w:t xml:space="preserve">A simple comparative bar showing the relative risk profile of dry vs wet cupping (skin intact vs skin-piercing), to make the safety distinction quantitative, not just verbal.</w:t>
      </w:r>
    </w:p>
    <w:p>
      <w:pPr>
        <w:pStyle w:val="Heading2"/>
      </w:pPr>
      <w:r>
        <w:t xml:space="preserve">5. Required statistics &amp; research visualisations</w:t>
      </w:r>
    </w:p>
    <w:p>
      <w:pPr>
        <w:pStyle w:val="ListParagraph"/>
        <w:numPr>
          <w:ilvl w:val="0"/>
          <w:numId w:val="2"/>
        </w:numPr>
        <w:spacing w:after="90"/>
      </w:pPr>
      <w:r>
        <w:rPr>
          <w:b/>
          <w:bCs/>
          <w:color w:val="1F4E5C"/>
        </w:rPr>
        <w:t xml:space="preserve">Evidence-grade traffic-light — </w:t>
      </w:r>
      <w:r>
        <w:t xml:space="preserve">A green/amber/red visual classifying example claims (increases local blood flow = green; may help some muscular pain = amber; cures disease/detox = red), teaching the grading discipline.</w:t>
      </w:r>
    </w:p>
    <w:p>
      <w:pPr>
        <w:pStyle w:val="ListParagraph"/>
        <w:numPr>
          <w:ilvl w:val="0"/>
          <w:numId w:val="2"/>
        </w:numPr>
        <w:spacing w:after="90"/>
      </w:pPr>
      <w:r>
        <w:rPr>
          <w:b/>
          <w:bCs/>
          <w:color w:val="1F4E5C"/>
        </w:rPr>
        <w:t xml:space="preserve">Global-use map — </w:t>
      </w:r>
      <w:r>
        <w:t xml:space="preserve">A world map highlighting regions where cupping is in mainstream or widespread use today (East Asia, Middle East, South Asia, Western sports/wellness), framed as context, not efficacy.</w:t>
      </w:r>
    </w:p>
    <w:p>
      <w:pPr>
        <w:pStyle w:val="Heading2"/>
      </w:pPr>
      <w:r>
        <w:t xml:space="preserve">6. Required educational animations</w:t>
      </w:r>
    </w:p>
    <w:p>
      <w:pPr>
        <w:pStyle w:val="ListParagraph"/>
        <w:numPr>
          <w:ilvl w:val="0"/>
          <w:numId w:val="2"/>
        </w:numPr>
        <w:spacing w:after="90"/>
      </w:pPr>
      <w:r>
        <w:rPr>
          <w:b/>
          <w:bCs/>
          <w:color w:val="1F4E5C"/>
        </w:rPr>
        <w:t xml:space="preserve">How suction affects tissue (60s) — </w:t>
      </w:r>
      <w:r>
        <w:t xml:space="preserve">A short animation showing negative pressure lifting skin, increasing local blood flow, and producing the characteristic mark — strictly mechanical effects, with on-screen text distinguishing 'observed' from 'theorised'.</w:t>
      </w:r>
    </w:p>
    <w:p>
      <w:pPr>
        <w:pStyle w:val="ListParagraph"/>
        <w:numPr>
          <w:ilvl w:val="0"/>
          <w:numId w:val="2"/>
        </w:numPr>
        <w:spacing w:after="90"/>
      </w:pPr>
      <w:r>
        <w:rPr>
          <w:b/>
          <w:bCs/>
          <w:color w:val="1F4E5C"/>
        </w:rPr>
        <w:t xml:space="preserve">The theories, honestly (45s) — </w:t>
      </w:r>
      <w:r>
        <w:t xml:space="preserve">A motion explainer walking through blood-flow, mechanotransduction, and pain-gate theories, each clearly captioned 'theory, not proven', modelling honest mechanism talk.</w:t>
      </w:r>
    </w:p>
    <w:p>
      <w:pPr>
        <w:pStyle w:val="Heading2"/>
      </w:pPr>
      <w:r>
        <w:t xml:space="preserve">7. Required practical demonstration videos</w:t>
      </w:r>
    </w:p>
    <w:p>
      <w:pPr>
        <w:pStyle w:val="ListParagraph"/>
        <w:numPr>
          <w:ilvl w:val="0"/>
          <w:numId w:val="2"/>
        </w:numPr>
        <w:spacing w:after="90"/>
      </w:pPr>
      <w:r>
        <w:rPr>
          <w:b/>
          <w:bCs/>
          <w:color w:val="1F4E5C"/>
        </w:rPr>
        <w:t xml:space="preserve">Programme welcome (2–3 min) — </w:t>
      </w:r>
      <w:r>
        <w:t xml:space="preserve">Director/clinical-lead to camera, setting the standard: premium, professional, honest. Establishes the brand voice.</w:t>
      </w:r>
    </w:p>
    <w:p>
      <w:pPr>
        <w:pStyle w:val="ListParagraph"/>
        <w:numPr>
          <w:ilvl w:val="0"/>
          <w:numId w:val="2"/>
        </w:numPr>
        <w:spacing w:after="90"/>
      </w:pPr>
      <w:r>
        <w:rPr>
          <w:b/>
          <w:bCs/>
          <w:color w:val="1F4E5C"/>
        </w:rPr>
        <w:t xml:space="preserve">'What is Hijama?' explainer (4–5 min) — </w:t>
      </w:r>
      <w:r>
        <w:t xml:space="preserve">Presenter-led walkthrough of the modalities with the equipment in hand; intercut with the comparison stills. No incision shown.</w:t>
      </w:r>
    </w:p>
    <w:p>
      <w:pPr>
        <w:pStyle w:val="Heading2"/>
      </w:pPr>
      <w:r>
        <w:t xml:space="preserve">8. Required downloadable resources</w:t>
      </w:r>
    </w:p>
    <w:p>
      <w:pPr>
        <w:pStyle w:val="ListParagraph"/>
        <w:numPr>
          <w:ilvl w:val="0"/>
          <w:numId w:val="2"/>
        </w:numPr>
        <w:spacing w:after="90"/>
      </w:pPr>
      <w:r>
        <w:rPr>
          <w:b/>
          <w:bCs/>
          <w:color w:val="1F4E5C"/>
        </w:rPr>
        <w:t xml:space="preserve">Module 1 glossary PDF — </w:t>
      </w:r>
      <w:r>
        <w:t xml:space="preserve">Branded reference of all key terms and definitions.</w:t>
      </w:r>
    </w:p>
    <w:p>
      <w:pPr>
        <w:pStyle w:val="ListParagraph"/>
        <w:numPr>
          <w:ilvl w:val="0"/>
          <w:numId w:val="2"/>
        </w:numPr>
        <w:spacing w:after="90"/>
      </w:pPr>
      <w:r>
        <w:rPr>
          <w:b/>
          <w:bCs/>
          <w:color w:val="1F4E5C"/>
        </w:rPr>
        <w:t xml:space="preserve">'History of cupping' one-pager — </w:t>
      </w:r>
      <w:r>
        <w:t xml:space="preserve">A handsome take-away the student could even adapt for client education, with evidence-honest framing.</w:t>
      </w:r>
    </w:p>
    <w:p>
      <w:pPr>
        <w:pStyle w:val="Heading2"/>
      </w:pPr>
      <w:r>
        <w:t xml:space="preserve">9. Required worksheets</w:t>
      </w:r>
    </w:p>
    <w:p>
      <w:pPr>
        <w:pStyle w:val="ListParagraph"/>
        <w:numPr>
          <w:ilvl w:val="0"/>
          <w:numId w:val="2"/>
        </w:numPr>
        <w:spacing w:after="90"/>
      </w:pPr>
      <w:r>
        <w:rPr>
          <w:b/>
          <w:bCs/>
          <w:color w:val="1F4E5C"/>
        </w:rPr>
        <w:t xml:space="preserve">Client-facing definition worksheet — </w:t>
      </w:r>
      <w:r>
        <w:t xml:space="preserve">Guided template for the student to draft and refine their own 60-word definition of Hijama.</w:t>
      </w:r>
    </w:p>
    <w:p>
      <w:pPr>
        <w:pStyle w:val="ListParagraph"/>
        <w:numPr>
          <w:ilvl w:val="0"/>
          <w:numId w:val="2"/>
        </w:numPr>
        <w:spacing w:after="90"/>
      </w:pPr>
      <w:r>
        <w:rPr>
          <w:b/>
          <w:bCs/>
          <w:color w:val="1F4E5C"/>
        </w:rPr>
        <w:t xml:space="preserve">Scope self-audit — </w:t>
      </w:r>
      <w:r>
        <w:t xml:space="preserve">A worksheet listing activities to sort into 'within my scope' / 'refer', building boundary awareness.</w:t>
      </w:r>
    </w:p>
    <w:p>
      <w:pPr>
        <w:pStyle w:val="Heading2"/>
      </w:pPr>
      <w:r>
        <w:t xml:space="preserve">10. Required assessment assets</w:t>
      </w:r>
    </w:p>
    <w:p>
      <w:pPr>
        <w:pStyle w:val="ListParagraph"/>
        <w:numPr>
          <w:ilvl w:val="0"/>
          <w:numId w:val="2"/>
        </w:numPr>
        <w:spacing w:after="90"/>
      </w:pPr>
      <w:r>
        <w:rPr>
          <w:b/>
          <w:bCs/>
          <w:color w:val="1F4E5C"/>
        </w:rPr>
        <w:t xml:space="preserve">Drag-to-classify quiz — </w:t>
      </w:r>
      <w:r>
        <w:t xml:space="preserve">Interactive: students drag claims into green/amber/red evidence buckets, and modalities into skin-intact/skin-broken.</w:t>
      </w:r>
    </w:p>
    <w:p>
      <w:pPr>
        <w:pStyle w:val="ListParagraph"/>
        <w:numPr>
          <w:ilvl w:val="0"/>
          <w:numId w:val="2"/>
        </w:numPr>
        <w:spacing w:after="90"/>
      </w:pPr>
      <w:r>
        <w:rPr>
          <w:b/>
          <w:bCs/>
          <w:color w:val="1F4E5C"/>
        </w:rPr>
        <w:t xml:space="preserve">Module 1 knowledge-check bank — </w:t>
      </w:r>
      <w:r>
        <w:t xml:space="preserve">Branded question templates with model-answer reveals (content already written in lessons).</w:t>
      </w:r>
    </w:p>
    <w:p>
      <w:r>
        <w:br w:type="page"/>
      </w:r>
    </w:p>
    <w:p>
      <w:pPr>
        <w:pStyle w:val="Heading1"/>
      </w:pPr>
      <w:r>
        <w:t xml:space="preserve">M2 — Prophetic Medicine (Tibb an-Nabawi) &amp; the Textual Basis of Hijama</w:t>
      </w:r>
    </w:p>
    <w:p>
      <w:pPr>
        <w:spacing w:after="140"/>
      </w:pPr>
      <w:r>
        <w:rPr>
          <w:i/>
          <w:iCs/>
          <w:color w:val="666666"/>
        </w:rPr>
        <w:t xml:space="preserve">Authority through scholarship and textual precision. Assets must be reverent and accurate, never decorative or presumptuous about contested gradings.</w:t>
      </w:r>
    </w:p>
    <w:p>
      <w:pPr>
        <w:pStyle w:val="Heading2"/>
      </w:pPr>
      <w:r>
        <w:t xml:space="preserve">1. Required professional photography</w:t>
      </w:r>
    </w:p>
    <w:p>
      <w:pPr>
        <w:pStyle w:val="ListParagraph"/>
        <w:numPr>
          <w:ilvl w:val="0"/>
          <w:numId w:val="2"/>
        </w:numPr>
        <w:spacing w:after="90"/>
      </w:pPr>
      <w:r>
        <w:rPr>
          <w:b/>
          <w:bCs/>
          <w:color w:val="1F4E5C"/>
        </w:rPr>
        <w:t xml:space="preserve">Manuscript &amp; scholarship stills — </w:t>
      </w:r>
      <w:r>
        <w:t xml:space="preserve">Dignified, well-lit photographs of classical medical texts and calligraphy (rights-cleared or commissioned), used sparingly to convey scholarly heritage.</w:t>
      </w:r>
    </w:p>
    <w:p>
      <w:pPr>
        <w:pStyle w:val="ListParagraph"/>
        <w:numPr>
          <w:ilvl w:val="0"/>
          <w:numId w:val="2"/>
        </w:numPr>
        <w:spacing w:after="90"/>
      </w:pPr>
      <w:r>
        <w:rPr>
          <w:b/>
          <w:bCs/>
          <w:color w:val="1F4E5C"/>
        </w:rPr>
        <w:t xml:space="preserve">Study-setting portrait — </w:t>
      </w:r>
      <w:r>
        <w:t xml:space="preserve">A practitioner studying source material at a desk, signalling that this is a programme of serious reading, not folklore.</w:t>
      </w:r>
    </w:p>
    <w:p>
      <w:pPr>
        <w:pStyle w:val="Heading2"/>
      </w:pPr>
      <w:r>
        <w:t xml:space="preserve">2. Required anatomical diagrams</w:t>
      </w:r>
    </w:p>
    <w:p>
      <w:pPr>
        <w:spacing w:after="140"/>
      </w:pPr>
      <w:r>
        <w:rPr>
          <w:i/>
          <w:iCs/>
          <w:color w:val="666666"/>
        </w:rPr>
        <w:t xml:space="preserve">Not applicable for this module; covered by shared programme assets (see Part D, reusability).</w:t>
      </w:r>
    </w:p>
    <w:p>
      <w:pPr>
        <w:pStyle w:val="Heading2"/>
      </w:pPr>
      <w:r>
        <w:t xml:space="preserve">3. Required infographics</w:t>
      </w:r>
    </w:p>
    <w:p>
      <w:pPr>
        <w:pStyle w:val="ListParagraph"/>
        <w:numPr>
          <w:ilvl w:val="0"/>
          <w:numId w:val="2"/>
        </w:numPr>
        <w:spacing w:after="90"/>
      </w:pPr>
      <w:r>
        <w:rPr>
          <w:b/>
          <w:bCs/>
          <w:color w:val="1F4E5C"/>
        </w:rPr>
        <w:t xml:space="preserve">Source-grading explainer — </w:t>
      </w:r>
      <w:r>
        <w:t xml:space="preserve">A clear visual of how narrations are classified and why grading matters, distinguishing religious significance from clinical evidence without overstating either.</w:t>
      </w:r>
    </w:p>
    <w:p>
      <w:pPr>
        <w:pStyle w:val="ListParagraph"/>
        <w:numPr>
          <w:ilvl w:val="0"/>
          <w:numId w:val="2"/>
        </w:numPr>
        <w:spacing w:after="90"/>
      </w:pPr>
      <w:r>
        <w:rPr>
          <w:b/>
          <w:bCs/>
          <w:color w:val="1F4E5C"/>
        </w:rPr>
        <w:t xml:space="preserve">Tibb an-Nabawi map — </w:t>
      </w:r>
      <w:r>
        <w:t xml:space="preserve">A panel situating Tibb an-Nabawi alongside the formal physician tradition (Ibn Sina, al-Razi), showing the relationship between the two bodies of knowledge.</w:t>
      </w:r>
    </w:p>
    <w:p>
      <w:pPr>
        <w:pStyle w:val="ListParagraph"/>
        <w:numPr>
          <w:ilvl w:val="0"/>
          <w:numId w:val="2"/>
        </w:numPr>
        <w:spacing w:after="90"/>
      </w:pPr>
      <w:r>
        <w:rPr>
          <w:b/>
          <w:bCs/>
          <w:color w:val="1F4E5C"/>
        </w:rPr>
        <w:t xml:space="preserve">'Two kinds of significance' diagram — </w:t>
      </w:r>
      <w:r>
        <w:t xml:space="preserve">Side-by-side framing: devotional meaning vs clinical evidence, each with its own standard, with a clear 'do not collapse one into the other' rule.</w:t>
      </w:r>
    </w:p>
    <w:p>
      <w:pPr>
        <w:pStyle w:val="Heading2"/>
      </w:pPr>
      <w:r>
        <w:t xml:space="preserve">4. Required charts &amp; graphs</w:t>
      </w:r>
    </w:p>
    <w:p>
      <w:pPr>
        <w:pStyle w:val="ListParagraph"/>
        <w:numPr>
          <w:ilvl w:val="0"/>
          <w:numId w:val="2"/>
        </w:numPr>
        <w:spacing w:after="90"/>
      </w:pPr>
      <w:r>
        <w:rPr>
          <w:b/>
          <w:bCs/>
          <w:color w:val="1F4E5C"/>
        </w:rPr>
        <w:t xml:space="preserve">Sunnah-timing reference — </w:t>
      </w:r>
      <w:r>
        <w:t xml:space="preserve">A clean lunar-month visual marking the traditionally recommended days (e.g. 17th/19th/21st), explicitly labelled as tradition, with a 'clinical fitness overrides the date' note.</w:t>
      </w:r>
    </w:p>
    <w:p>
      <w:pPr>
        <w:pStyle w:val="Heading2"/>
      </w:pPr>
      <w:r>
        <w:t xml:space="preserve">5. Required statistics &amp; research visualisations</w:t>
      </w:r>
    </w:p>
    <w:p>
      <w:pPr>
        <w:pStyle w:val="ListParagraph"/>
        <w:numPr>
          <w:ilvl w:val="0"/>
          <w:numId w:val="2"/>
        </w:numPr>
        <w:spacing w:after="90"/>
      </w:pPr>
      <w:r>
        <w:rPr>
          <w:b/>
          <w:bCs/>
          <w:color w:val="1F4E5C"/>
        </w:rPr>
        <w:t xml:space="preserve">Religious-significance vs evidence quadrant — </w:t>
      </w:r>
      <w:r>
        <w:t xml:space="preserve">A 2×2 conceptual visual mapping practices by devotional weight and evidence strength, teaching students to hold both honestly.</w:t>
      </w:r>
    </w:p>
    <w:p>
      <w:pPr>
        <w:pStyle w:val="Heading2"/>
      </w:pPr>
      <w:r>
        <w:t xml:space="preserve">6. Required educational animations</w:t>
      </w:r>
    </w:p>
    <w:p>
      <w:pPr>
        <w:pStyle w:val="ListParagraph"/>
        <w:numPr>
          <w:ilvl w:val="0"/>
          <w:numId w:val="2"/>
        </w:numPr>
        <w:spacing w:after="90"/>
      </w:pPr>
      <w:r>
        <w:rPr>
          <w:b/>
          <w:bCs/>
          <w:color w:val="1F4E5C"/>
        </w:rPr>
        <w:t xml:space="preserve">From narration to practice (60s) — </w:t>
      </w:r>
      <w:r>
        <w:t xml:space="preserve">An animation tracing how a reported practice is transmitted, graded, and responsibly translated into modern clinical conduct.</w:t>
      </w:r>
    </w:p>
    <w:p>
      <w:pPr>
        <w:pStyle w:val="Heading2"/>
      </w:pPr>
      <w:r>
        <w:t xml:space="preserve">7. Required practical demonstration videos</w:t>
      </w:r>
    </w:p>
    <w:p>
      <w:pPr>
        <w:pStyle w:val="ListParagraph"/>
        <w:numPr>
          <w:ilvl w:val="0"/>
          <w:numId w:val="2"/>
        </w:numPr>
        <w:spacing w:after="90"/>
      </w:pPr>
      <w:r>
        <w:rPr>
          <w:b/>
          <w:bCs/>
          <w:color w:val="1F4E5C"/>
        </w:rPr>
        <w:t xml:space="preserve">Scholar/clinical-lead conversation (8–10 min) — </w:t>
      </w:r>
      <w:r>
        <w:t xml:space="preserve">A filmed discussion handling the texts with care, modelling how to honour the Sunnah while keeping clinical claims honest. Chaptered.</w:t>
      </w:r>
    </w:p>
    <w:p>
      <w:pPr>
        <w:pStyle w:val="Heading2"/>
      </w:pPr>
      <w:r>
        <w:t xml:space="preserve">8. Required downloadable resources</w:t>
      </w:r>
    </w:p>
    <w:p>
      <w:pPr>
        <w:pStyle w:val="ListParagraph"/>
        <w:numPr>
          <w:ilvl w:val="0"/>
          <w:numId w:val="2"/>
        </w:numPr>
        <w:spacing w:after="90"/>
      </w:pPr>
      <w:r>
        <w:rPr>
          <w:b/>
          <w:bCs/>
          <w:color w:val="1F4E5C"/>
        </w:rPr>
        <w:t xml:space="preserve">Annotated narrations reading pack — </w:t>
      </w:r>
      <w:r>
        <w:t xml:space="preserve">The primary texts with references and grading notes (the curriculum's Module 2 reading pack), beautifully typeset.</w:t>
      </w:r>
    </w:p>
    <w:p>
      <w:pPr>
        <w:pStyle w:val="ListParagraph"/>
        <w:numPr>
          <w:ilvl w:val="0"/>
          <w:numId w:val="2"/>
        </w:numPr>
        <w:spacing w:after="90"/>
      </w:pPr>
      <w:r>
        <w:rPr>
          <w:b/>
          <w:bCs/>
          <w:color w:val="1F4E5C"/>
        </w:rPr>
        <w:t xml:space="preserve">Client-conversation crib sheet — </w:t>
      </w:r>
      <w:r>
        <w:t xml:space="preserve">How to discuss the Sunnah meaning of Hijama with clients accurately and respectfully.</w:t>
      </w:r>
    </w:p>
    <w:p>
      <w:pPr>
        <w:pStyle w:val="Heading2"/>
      </w:pPr>
      <w:r>
        <w:t xml:space="preserve">9. Required worksheets</w:t>
      </w:r>
    </w:p>
    <w:p>
      <w:pPr>
        <w:pStyle w:val="ListParagraph"/>
        <w:numPr>
          <w:ilvl w:val="0"/>
          <w:numId w:val="2"/>
        </w:numPr>
        <w:spacing w:after="90"/>
      </w:pPr>
      <w:r>
        <w:rPr>
          <w:b/>
          <w:bCs/>
          <w:color w:val="1F4E5C"/>
        </w:rPr>
        <w:t xml:space="preserve">Significance-sorting worksheet — </w:t>
      </w:r>
      <w:r>
        <w:t xml:space="preserve">Students place sample statements on the religious/clinical map and justify each.</w:t>
      </w:r>
    </w:p>
    <w:p>
      <w:pPr>
        <w:pStyle w:val="ListParagraph"/>
        <w:numPr>
          <w:ilvl w:val="0"/>
          <w:numId w:val="2"/>
        </w:numPr>
        <w:spacing w:after="90"/>
      </w:pPr>
      <w:r>
        <w:rPr>
          <w:b/>
          <w:bCs/>
          <w:color w:val="1F4E5C"/>
        </w:rPr>
        <w:t xml:space="preserve">Sunnah-timing scenario worksheet — </w:t>
      </w:r>
      <w:r>
        <w:t xml:space="preserve">Cases where a client requests a Sunnah day but presents a contraindication; student plans a response.</w:t>
      </w:r>
    </w:p>
    <w:p>
      <w:pPr>
        <w:pStyle w:val="Heading2"/>
      </w:pPr>
      <w:r>
        <w:t xml:space="preserve">10. Required assessment assets</w:t>
      </w:r>
    </w:p>
    <w:p>
      <w:pPr>
        <w:pStyle w:val="ListParagraph"/>
        <w:numPr>
          <w:ilvl w:val="0"/>
          <w:numId w:val="2"/>
        </w:numPr>
        <w:spacing w:after="90"/>
      </w:pPr>
      <w:r>
        <w:rPr>
          <w:b/>
          <w:bCs/>
          <w:color w:val="1F4E5C"/>
        </w:rPr>
        <w:t xml:space="preserve">Reference-matching interaction — </w:t>
      </w:r>
      <w:r>
        <w:t xml:space="preserve">Match narration to source and grading category.</w:t>
      </w:r>
    </w:p>
    <w:p>
      <w:pPr>
        <w:pStyle w:val="ListParagraph"/>
        <w:numPr>
          <w:ilvl w:val="0"/>
          <w:numId w:val="2"/>
        </w:numPr>
        <w:spacing w:after="90"/>
      </w:pPr>
      <w:r>
        <w:rPr>
          <w:b/>
          <w:bCs/>
          <w:color w:val="1F4E5C"/>
        </w:rPr>
        <w:t xml:space="preserve">Reflective written submission — </w:t>
      </w:r>
      <w:r>
        <w:t xml:space="preserve">Graded short answer on holding devotional and clinical significance together (rubric provided).</w:t>
      </w:r>
    </w:p>
    <w:p>
      <w:r>
        <w:br w:type="page"/>
      </w:r>
    </w:p>
    <w:p>
      <w:pPr>
        <w:pStyle w:val="Heading1"/>
      </w:pPr>
      <w:r>
        <w:t xml:space="preserve">M3 — Anatomy &amp; Physiology for Hijama Practice</w:t>
      </w:r>
    </w:p>
    <w:p>
      <w:pPr>
        <w:spacing w:after="140"/>
      </w:pPr>
      <w:r>
        <w:rPr>
          <w:i/>
          <w:iCs/>
          <w:color w:val="666666"/>
        </w:rPr>
        <w:t xml:space="preserve">The visual centrepiece of the whole programme. This is where premium medical illustration earns the fee. Assets here are reused everywhere downstream.</w:t>
      </w:r>
    </w:p>
    <w:p>
      <w:pPr>
        <w:pStyle w:val="Heading2"/>
      </w:pPr>
      <w:r>
        <w:t xml:space="preserve">1. Required professional photography</w:t>
      </w:r>
    </w:p>
    <w:p>
      <w:pPr>
        <w:pStyle w:val="ListParagraph"/>
        <w:numPr>
          <w:ilvl w:val="0"/>
          <w:numId w:val="2"/>
        </w:numPr>
        <w:spacing w:after="90"/>
      </w:pPr>
      <w:r>
        <w:rPr>
          <w:b/>
          <w:bCs/>
          <w:color w:val="1F4E5C"/>
        </w:rPr>
        <w:t xml:space="preserve">Surface-anatomy photography set — </w:t>
      </w:r>
      <w:r>
        <w:t xml:space="preserve">Art-directed photographs of the back, shoulders, and limbs with surface landmarks visible, across a range of body types and skin tones, as the photographic base layer for point-location overlays.</w:t>
      </w:r>
    </w:p>
    <w:p>
      <w:pPr>
        <w:pStyle w:val="ListParagraph"/>
        <w:numPr>
          <w:ilvl w:val="0"/>
          <w:numId w:val="2"/>
        </w:numPr>
        <w:spacing w:after="90"/>
      </w:pPr>
      <w:r>
        <w:rPr>
          <w:b/>
          <w:bCs/>
          <w:color w:val="1F4E5C"/>
        </w:rPr>
        <w:t xml:space="preserve">Skin-tone reference series — </w:t>
      </w:r>
      <w:r>
        <w:t xml:space="preserve">A controlled set showing how cupping marks and skin reactions appear across the full range of skin tones — clinically essential for reading the skin safely.</w:t>
      </w:r>
    </w:p>
    <w:p>
      <w:pPr>
        <w:pStyle w:val="Heading2"/>
      </w:pPr>
      <w:r>
        <w:t xml:space="preserve">2. Required anatomical diagrams</w:t>
      </w:r>
    </w:p>
    <w:p>
      <w:pPr>
        <w:pStyle w:val="ListParagraph"/>
        <w:numPr>
          <w:ilvl w:val="0"/>
          <w:numId w:val="2"/>
        </w:numPr>
        <w:spacing w:after="90"/>
      </w:pPr>
      <w:r>
        <w:rPr>
          <w:b/>
          <w:bCs/>
          <w:color w:val="1F4E5C"/>
        </w:rPr>
        <w:t xml:space="preserve">Master skin cross-section [CLINICAL SIGN-OFF] — </w:t>
      </w:r>
      <w:r>
        <w:t xml:space="preserve">A high-detail, fully labelled layered illustration: epidermis, dermis, hypodermis, capillary networks, nerve endings, hair follicles — the reference figure for the entire course.</w:t>
      </w:r>
    </w:p>
    <w:p>
      <w:pPr>
        <w:pStyle w:val="ListParagraph"/>
        <w:numPr>
          <w:ilvl w:val="0"/>
          <w:numId w:val="2"/>
        </w:numPr>
        <w:spacing w:after="90"/>
      </w:pPr>
      <w:r>
        <w:rPr>
          <w:b/>
          <w:bCs/>
          <w:color w:val="1F4E5C"/>
        </w:rPr>
        <w:t xml:space="preserve">Circulatory system overview — </w:t>
      </w:r>
      <w:r>
        <w:t xml:space="preserve">Labelled illustration of systemic circulation with emphasis on the superficial vasculature relevant to cupping marks and bleeding.</w:t>
      </w:r>
    </w:p>
    <w:p>
      <w:pPr>
        <w:pStyle w:val="ListParagraph"/>
        <w:numPr>
          <w:ilvl w:val="0"/>
          <w:numId w:val="2"/>
        </w:numPr>
        <w:spacing w:after="90"/>
      </w:pPr>
      <w:r>
        <w:rPr>
          <w:b/>
          <w:bCs/>
          <w:color w:val="1F4E5C"/>
        </w:rPr>
        <w:t xml:space="preserve">Lymphatic system overview — </w:t>
      </w:r>
      <w:r>
        <w:t xml:space="preserve">Labelled illustration of lymphatic drainage relevant to claims about fluid movement, drawn honestly.</w:t>
      </w:r>
    </w:p>
    <w:p>
      <w:pPr>
        <w:pStyle w:val="ListParagraph"/>
        <w:numPr>
          <w:ilvl w:val="0"/>
          <w:numId w:val="2"/>
        </w:numPr>
        <w:spacing w:after="90"/>
      </w:pPr>
      <w:r>
        <w:rPr>
          <w:b/>
          <w:bCs/>
          <w:color w:val="1F4E5C"/>
        </w:rPr>
        <w:t xml:space="preserve">Nervous system / dermatomes — </w:t>
      </w:r>
      <w:r>
        <w:t xml:space="preserve">Illustration of relevant peripheral nerves and dermatome regions, supporting safe site selection.</w:t>
      </w:r>
    </w:p>
    <w:p>
      <w:pPr>
        <w:pStyle w:val="ListParagraph"/>
        <w:numPr>
          <w:ilvl w:val="0"/>
          <w:numId w:val="2"/>
        </w:numPr>
        <w:spacing w:after="90"/>
      </w:pPr>
      <w:r>
        <w:rPr>
          <w:b/>
          <w:bCs/>
          <w:color w:val="1F4E5C"/>
        </w:rPr>
        <w:t xml:space="preserve">Danger-zones atlas [CLINICAL SIGN-OFF] — </w:t>
      </w:r>
      <w:r>
        <w:t xml:space="preserve">A series of regional maps flagging areas to avoid or treat with caution (major vessels, nerves, bony prominences, organs) — the safety backbone of point selection in M10.</w:t>
      </w:r>
    </w:p>
    <w:p>
      <w:pPr>
        <w:pStyle w:val="ListParagraph"/>
        <w:numPr>
          <w:ilvl w:val="0"/>
          <w:numId w:val="2"/>
        </w:numPr>
        <w:spacing w:after="90"/>
      </w:pPr>
      <w:r>
        <w:rPr>
          <w:b/>
          <w:bCs/>
          <w:color w:val="1F4E5C"/>
        </w:rPr>
        <w:t xml:space="preserve">Layered overlay system — </w:t>
      </w:r>
      <w:r>
        <w:t xml:space="preserve">All structures built as toggleable vector layers over the same body base, so later modules can switch anatomy on/off beneath Sunnah points.</w:t>
      </w:r>
    </w:p>
    <w:p>
      <w:pPr>
        <w:pStyle w:val="Heading2"/>
      </w:pPr>
      <w:r>
        <w:t xml:space="preserve">3. Required infographics</w:t>
      </w:r>
    </w:p>
    <w:p>
      <w:pPr>
        <w:pStyle w:val="ListParagraph"/>
        <w:numPr>
          <w:ilvl w:val="0"/>
          <w:numId w:val="2"/>
        </w:numPr>
        <w:spacing w:after="90"/>
      </w:pPr>
      <w:r>
        <w:rPr>
          <w:b/>
          <w:bCs/>
          <w:color w:val="1F4E5C"/>
        </w:rPr>
        <w:t xml:space="preserve">'What the cup actually reaches' depth panel — </w:t>
      </w:r>
      <w:r>
        <w:t xml:space="preserve">A visual indicating how far suction and superficial incision affect tissue, dispelling myths about depth.</w:t>
      </w:r>
    </w:p>
    <w:p>
      <w:pPr>
        <w:pStyle w:val="ListParagraph"/>
        <w:numPr>
          <w:ilvl w:val="0"/>
          <w:numId w:val="2"/>
        </w:numPr>
        <w:spacing w:after="90"/>
      </w:pPr>
      <w:r>
        <w:rPr>
          <w:b/>
          <w:bCs/>
          <w:color w:val="1F4E5C"/>
        </w:rPr>
        <w:t xml:space="preserve">Wound-healing stages strip — </w:t>
      </w:r>
      <w:r>
        <w:t xml:space="preserve">A clean sequence of the phases of healing of a superficial incision, supporting aftercare teaching.</w:t>
      </w:r>
    </w:p>
    <w:p>
      <w:pPr>
        <w:pStyle w:val="Heading2"/>
      </w:pPr>
      <w:r>
        <w:t xml:space="preserve">4. Required charts &amp; graphs</w:t>
      </w:r>
    </w:p>
    <w:p>
      <w:pPr>
        <w:pStyle w:val="ListParagraph"/>
        <w:numPr>
          <w:ilvl w:val="0"/>
          <w:numId w:val="2"/>
        </w:numPr>
        <w:spacing w:after="90"/>
      </w:pPr>
      <w:r>
        <w:rPr>
          <w:b/>
          <w:bCs/>
          <w:color w:val="1F4E5C"/>
        </w:rPr>
        <w:t xml:space="preserve">Tissue-depth diagram — </w:t>
      </w:r>
      <w:r>
        <w:t xml:space="preserve">A scaled side-view chart of skin-layer depths in millimetres, grounding 'superficial' in real numbers.</w:t>
      </w:r>
    </w:p>
    <w:p>
      <w:pPr>
        <w:pStyle w:val="Heading2"/>
      </w:pPr>
      <w:r>
        <w:t xml:space="preserve">5. Required statistics &amp; research visualisations</w:t>
      </w:r>
    </w:p>
    <w:p>
      <w:pPr>
        <w:pStyle w:val="ListParagraph"/>
        <w:numPr>
          <w:ilvl w:val="0"/>
          <w:numId w:val="2"/>
        </w:numPr>
        <w:spacing w:after="90"/>
      </w:pPr>
      <w:r>
        <w:rPr>
          <w:b/>
          <w:bCs/>
          <w:color w:val="1F4E5C"/>
        </w:rPr>
        <w:t xml:space="preserve">Skin-tone representation note — </w:t>
      </w:r>
      <w:r>
        <w:t xml:space="preserve">A short data-honest panel on why training imagery spans skin tones and how reaction-reading differs — framed clinically.</w:t>
      </w:r>
    </w:p>
    <w:p>
      <w:pPr>
        <w:pStyle w:val="Heading2"/>
      </w:pPr>
      <w:r>
        <w:t xml:space="preserve">6. Required educational animations</w:t>
      </w:r>
    </w:p>
    <w:p>
      <w:pPr>
        <w:pStyle w:val="ListParagraph"/>
        <w:numPr>
          <w:ilvl w:val="0"/>
          <w:numId w:val="2"/>
        </w:numPr>
        <w:spacing w:after="90"/>
      </w:pPr>
      <w:r>
        <w:rPr>
          <w:b/>
          <w:bCs/>
          <w:color w:val="1F4E5C"/>
        </w:rPr>
        <w:t xml:space="preserve">Blood flow under suction (90s) [CLINICAL SIGN-OFF] — </w:t>
      </w:r>
      <w:r>
        <w:t xml:space="preserve">Physiology animation showing local circulatory response to negative pressure and how the mark forms at the capillary level.</w:t>
      </w:r>
    </w:p>
    <w:p>
      <w:pPr>
        <w:pStyle w:val="ListParagraph"/>
        <w:numPr>
          <w:ilvl w:val="0"/>
          <w:numId w:val="2"/>
        </w:numPr>
        <w:spacing w:after="90"/>
      </w:pPr>
      <w:r>
        <w:rPr>
          <w:b/>
          <w:bCs/>
          <w:color w:val="1F4E5C"/>
        </w:rPr>
        <w:t xml:space="preserve">Lymphatic &amp; nervous response (75s) — </w:t>
      </w:r>
      <w:r>
        <w:t xml:space="preserve">Animation of relevant fluid and neural responses, with theory clearly labelled where it is theory.</w:t>
      </w:r>
    </w:p>
    <w:p>
      <w:pPr>
        <w:pStyle w:val="ListParagraph"/>
        <w:numPr>
          <w:ilvl w:val="0"/>
          <w:numId w:val="2"/>
        </w:numPr>
        <w:spacing w:after="90"/>
      </w:pPr>
      <w:r>
        <w:rPr>
          <w:b/>
          <w:bCs/>
          <w:color w:val="1F4E5C"/>
        </w:rPr>
        <w:t xml:space="preserve">Layer-by-layer skin fly-through (60s) — </w:t>
      </w:r>
      <w:r>
        <w:t xml:space="preserve">An animated descent through the skin layers, reusing the master cross-section.</w:t>
      </w:r>
    </w:p>
    <w:p>
      <w:pPr>
        <w:pStyle w:val="Heading2"/>
      </w:pPr>
      <w:r>
        <w:t xml:space="preserve">7. Required practical demonstration videos</w:t>
      </w:r>
    </w:p>
    <w:p>
      <w:pPr>
        <w:pStyle w:val="ListParagraph"/>
        <w:numPr>
          <w:ilvl w:val="0"/>
          <w:numId w:val="2"/>
        </w:numPr>
        <w:spacing w:after="90"/>
      </w:pPr>
      <w:r>
        <w:rPr>
          <w:b/>
          <w:bCs/>
          <w:color w:val="1F4E5C"/>
        </w:rPr>
        <w:t xml:space="preserve">Anatomy walkthrough on a model (10–12 min) — </w:t>
      </w:r>
      <w:r>
        <w:t xml:space="preserve">Clinician palpating and pointing out surface landmarks and danger zones on a live model, mapping illustration to the real body.</w:t>
      </w:r>
    </w:p>
    <w:p>
      <w:pPr>
        <w:pStyle w:val="Heading2"/>
      </w:pPr>
      <w:r>
        <w:t xml:space="preserve">8. Required downloadable resources</w:t>
      </w:r>
    </w:p>
    <w:p>
      <w:pPr>
        <w:pStyle w:val="ListParagraph"/>
        <w:numPr>
          <w:ilvl w:val="0"/>
          <w:numId w:val="2"/>
        </w:numPr>
        <w:spacing w:after="90"/>
      </w:pPr>
      <w:r>
        <w:rPr>
          <w:b/>
          <w:bCs/>
          <w:color w:val="1F4E5C"/>
        </w:rPr>
        <w:t xml:space="preserve">Printable anatomy atlas PDF — </w:t>
      </w:r>
      <w:r>
        <w:t xml:space="preserve">The full labelled illustration set as a study reference.</w:t>
      </w:r>
    </w:p>
    <w:p>
      <w:pPr>
        <w:pStyle w:val="ListParagraph"/>
        <w:numPr>
          <w:ilvl w:val="0"/>
          <w:numId w:val="2"/>
        </w:numPr>
        <w:spacing w:after="90"/>
      </w:pPr>
      <w:r>
        <w:rPr>
          <w:b/>
          <w:bCs/>
          <w:color w:val="1F4E5C"/>
        </w:rPr>
        <w:t xml:space="preserve">Danger-zones quick card — </w:t>
      </w:r>
      <w:r>
        <w:t xml:space="preserve">A laminate-ready card of areas to avoid/caution.</w:t>
      </w:r>
    </w:p>
    <w:p>
      <w:pPr>
        <w:pStyle w:val="Heading2"/>
      </w:pPr>
      <w:r>
        <w:t xml:space="preserve">9. Required worksheets</w:t>
      </w:r>
    </w:p>
    <w:p>
      <w:pPr>
        <w:pStyle w:val="ListParagraph"/>
        <w:numPr>
          <w:ilvl w:val="0"/>
          <w:numId w:val="2"/>
        </w:numPr>
        <w:spacing w:after="90"/>
      </w:pPr>
      <w:r>
        <w:rPr>
          <w:b/>
          <w:bCs/>
          <w:color w:val="1F4E5C"/>
        </w:rPr>
        <w:t xml:space="preserve">Label-the-structure worksheets — </w:t>
      </w:r>
      <w:r>
        <w:t xml:space="preserve">Blank-label versions of each illustration for active recall.</w:t>
      </w:r>
    </w:p>
    <w:p>
      <w:pPr>
        <w:pStyle w:val="ListParagraph"/>
        <w:numPr>
          <w:ilvl w:val="0"/>
          <w:numId w:val="2"/>
        </w:numPr>
        <w:spacing w:after="90"/>
      </w:pPr>
      <w:r>
        <w:rPr>
          <w:b/>
          <w:bCs/>
          <w:color w:val="1F4E5C"/>
        </w:rPr>
        <w:t xml:space="preserve">Surface-landmark location worksheet — </w:t>
      </w:r>
      <w:r>
        <w:t xml:space="preserve">Students mark landmarks and danger zones on a body outline.</w:t>
      </w:r>
    </w:p>
    <w:p>
      <w:pPr>
        <w:pStyle w:val="Heading2"/>
      </w:pPr>
      <w:r>
        <w:t xml:space="preserve">10. Required assessment assets</w:t>
      </w:r>
    </w:p>
    <w:p>
      <w:pPr>
        <w:pStyle w:val="ListParagraph"/>
        <w:numPr>
          <w:ilvl w:val="0"/>
          <w:numId w:val="2"/>
        </w:numPr>
        <w:spacing w:after="90"/>
      </w:pPr>
      <w:r>
        <w:rPr>
          <w:b/>
          <w:bCs/>
          <w:color w:val="1F4E5C"/>
        </w:rPr>
        <w:t xml:space="preserve">Interactive labelling quiz [CLINICAL SIGN-OFF] — </w:t>
      </w:r>
      <w:r>
        <w:t xml:space="preserve">Click-to-label the skin cross-section and danger-zones atlas; safety-critical items weighted.</w:t>
      </w:r>
    </w:p>
    <w:p>
      <w:pPr>
        <w:pStyle w:val="ListParagraph"/>
        <w:numPr>
          <w:ilvl w:val="0"/>
          <w:numId w:val="2"/>
        </w:numPr>
        <w:spacing w:after="90"/>
      </w:pPr>
      <w:r>
        <w:rPr>
          <w:b/>
          <w:bCs/>
          <w:color w:val="1F4E5C"/>
        </w:rPr>
        <w:t xml:space="preserve">Danger-zone identification test — </w:t>
      </w:r>
      <w:r>
        <w:t xml:space="preserve">Hotspot interaction: identify regions to avoid on the body map.</w:t>
      </w:r>
    </w:p>
    <w:p>
      <w:r>
        <w:br w:type="page"/>
      </w:r>
    </w:p>
    <w:p>
      <w:pPr>
        <w:pStyle w:val="Heading1"/>
      </w:pPr>
      <w:r>
        <w:t xml:space="preserve">M4 — Infection Prevention, Clinical Hygiene, Sharps &amp; Waste</w:t>
      </w:r>
    </w:p>
    <w:p>
      <w:pPr>
        <w:spacing w:after="140"/>
      </w:pPr>
      <w:r>
        <w:rPr>
          <w:i/>
          <w:iCs/>
          <w:color w:val="666666"/>
        </w:rPr>
        <w:t xml:space="preserve">The most safety-critical module in the programme. Every asset must model flawless technique; nothing here can show a shortcut. Heavy [CLINICAL SIGN-OFF] throughout.</w:t>
      </w:r>
    </w:p>
    <w:p>
      <w:pPr>
        <w:pStyle w:val="Heading2"/>
      </w:pPr>
      <w:r>
        <w:t xml:space="preserve">1. Required professional photography</w:t>
      </w:r>
    </w:p>
    <w:p>
      <w:pPr>
        <w:pStyle w:val="ListParagraph"/>
        <w:numPr>
          <w:ilvl w:val="0"/>
          <w:numId w:val="2"/>
        </w:numPr>
        <w:spacing w:after="90"/>
      </w:pPr>
      <w:r>
        <w:rPr>
          <w:b/>
          <w:bCs/>
          <w:color w:val="1F4E5C"/>
        </w:rPr>
        <w:t xml:space="preserve">Hand-hygiene photo sequence [CLINICAL SIGN-OFF] — </w:t>
      </w:r>
      <w:r>
        <w:t xml:space="preserve">A clean, step-by-step photographic series of correct hand-washing and gloving, lit for clarity.</w:t>
      </w:r>
    </w:p>
    <w:p>
      <w:pPr>
        <w:pStyle w:val="ListParagraph"/>
        <w:numPr>
          <w:ilvl w:val="0"/>
          <w:numId w:val="2"/>
        </w:numPr>
        <w:spacing w:after="90"/>
      </w:pPr>
      <w:r>
        <w:rPr>
          <w:b/>
          <w:bCs/>
          <w:color w:val="1F4E5C"/>
        </w:rPr>
        <w:t xml:space="preserve">PPE &amp; set-up stills [CLINICAL SIGN-OFF] — </w:t>
      </w:r>
      <w:r>
        <w:t xml:space="preserve">Photographs of correct PPE, a properly laid clean/dirty field, and single-use equipment in sealed packs.</w:t>
      </w:r>
    </w:p>
    <w:p>
      <w:pPr>
        <w:pStyle w:val="ListParagraph"/>
        <w:numPr>
          <w:ilvl w:val="0"/>
          <w:numId w:val="2"/>
        </w:numPr>
        <w:spacing w:after="90"/>
      </w:pPr>
      <w:r>
        <w:rPr>
          <w:b/>
          <w:bCs/>
          <w:color w:val="1F4E5C"/>
        </w:rPr>
        <w:t xml:space="preserve">Sharps &amp; waste stations [CLINICAL SIGN-OFF] — </w:t>
      </w:r>
      <w:r>
        <w:t xml:space="preserve">Photographs of compliant sharps bins and clinical-waste containers, correctly labelled and positioned.</w:t>
      </w:r>
    </w:p>
    <w:p>
      <w:pPr>
        <w:pStyle w:val="Heading2"/>
      </w:pPr>
      <w:r>
        <w:t xml:space="preserve">2. Required anatomical diagrams</w:t>
      </w:r>
    </w:p>
    <w:p>
      <w:pPr>
        <w:pStyle w:val="ListParagraph"/>
        <w:numPr>
          <w:ilvl w:val="0"/>
          <w:numId w:val="2"/>
        </w:numPr>
        <w:spacing w:after="90"/>
      </w:pPr>
      <w:r>
        <w:rPr>
          <w:b/>
          <w:bCs/>
          <w:color w:val="1F4E5C"/>
        </w:rPr>
        <w:t xml:space="preserve">Skin-barrier breach illustration — </w:t>
      </w:r>
      <w:r>
        <w:t xml:space="preserve">An illustration showing how a superficial incision creates a portal of entry, motivating asepsis at the cellular level.</w:t>
      </w:r>
    </w:p>
    <w:p>
      <w:pPr>
        <w:pStyle w:val="Heading2"/>
      </w:pPr>
      <w:r>
        <w:t xml:space="preserve">3. Required infographics</w:t>
      </w:r>
    </w:p>
    <w:p>
      <w:pPr>
        <w:pStyle w:val="ListParagraph"/>
        <w:numPr>
          <w:ilvl w:val="0"/>
          <w:numId w:val="2"/>
        </w:numPr>
        <w:spacing w:after="90"/>
      </w:pPr>
      <w:r>
        <w:rPr>
          <w:b/>
          <w:bCs/>
          <w:color w:val="1F4E5C"/>
        </w:rPr>
        <w:t xml:space="preserve">Chain-of-infection diagram — </w:t>
      </w:r>
      <w:r>
        <w:t xml:space="preserve">The classic six-link chain adapted to the cupping context, with the points where the practitioner breaks each link.</w:t>
      </w:r>
    </w:p>
    <w:p>
      <w:pPr>
        <w:pStyle w:val="ListParagraph"/>
        <w:numPr>
          <w:ilvl w:val="0"/>
          <w:numId w:val="2"/>
        </w:numPr>
        <w:spacing w:after="90"/>
      </w:pPr>
      <w:r>
        <w:rPr>
          <w:b/>
          <w:bCs/>
          <w:color w:val="1F4E5C"/>
        </w:rPr>
        <w:t xml:space="preserve">Clean-to-dirty workflow map — </w:t>
      </w:r>
      <w:r>
        <w:t xml:space="preserve">A spatial diagram of the treatment area showing one-directional workflow and zone separation.</w:t>
      </w:r>
    </w:p>
    <w:p>
      <w:pPr>
        <w:pStyle w:val="ListParagraph"/>
        <w:numPr>
          <w:ilvl w:val="0"/>
          <w:numId w:val="2"/>
        </w:numPr>
        <w:spacing w:after="90"/>
      </w:pPr>
      <w:r>
        <w:rPr>
          <w:b/>
          <w:bCs/>
          <w:color w:val="1F4E5C"/>
        </w:rPr>
        <w:t xml:space="preserve">Sharps-safety rules panel — </w:t>
      </w:r>
      <w:r>
        <w:t xml:space="preserve">A bold do/never visual covering single-use blades, no resheathing, point-of-use disposal.</w:t>
      </w:r>
    </w:p>
    <w:p>
      <w:pPr>
        <w:pStyle w:val="ListParagraph"/>
        <w:numPr>
          <w:ilvl w:val="0"/>
          <w:numId w:val="2"/>
        </w:numPr>
        <w:spacing w:after="90"/>
      </w:pPr>
      <w:r>
        <w:rPr>
          <w:b/>
          <w:bCs/>
          <w:color w:val="1F4E5C"/>
        </w:rPr>
        <w:t xml:space="preserve">Waste-segregation chart — </w:t>
      </w:r>
      <w:r>
        <w:t xml:space="preserve">A colour-coded guide to UK clinical-waste streams and correct disposal.</w:t>
      </w:r>
    </w:p>
    <w:p>
      <w:pPr>
        <w:pStyle w:val="Heading2"/>
      </w:pPr>
      <w:r>
        <w:t xml:space="preserve">4. Required charts &amp; graphs</w:t>
      </w:r>
    </w:p>
    <w:p>
      <w:pPr>
        <w:pStyle w:val="ListParagraph"/>
        <w:numPr>
          <w:ilvl w:val="0"/>
          <w:numId w:val="2"/>
        </w:numPr>
        <w:spacing w:after="90"/>
      </w:pPr>
      <w:r>
        <w:rPr>
          <w:b/>
          <w:bCs/>
          <w:color w:val="1F4E5C"/>
        </w:rPr>
        <w:t xml:space="preserve">Decontamination decision tree — </w:t>
      </w:r>
      <w:r>
        <w:t xml:space="preserve">A flow chart: single-use (default) vs anything reusable, routing to correct handling — biased hard toward single-use.</w:t>
      </w:r>
    </w:p>
    <w:p>
      <w:pPr>
        <w:pStyle w:val="Heading2"/>
      </w:pPr>
      <w:r>
        <w:t xml:space="preserve">5. Required statistics &amp; research visualisations</w:t>
      </w:r>
    </w:p>
    <w:p>
      <w:pPr>
        <w:pStyle w:val="ListParagraph"/>
        <w:numPr>
          <w:ilvl w:val="0"/>
          <w:numId w:val="2"/>
        </w:numPr>
        <w:spacing w:after="90"/>
      </w:pPr>
      <w:r>
        <w:rPr>
          <w:b/>
          <w:bCs/>
          <w:color w:val="1F4E5C"/>
        </w:rPr>
        <w:t xml:space="preserve">Bloodborne-virus risk panel — </w:t>
      </w:r>
      <w:r>
        <w:t xml:space="preserve">An honest, non-sensational visualisation of transmission risk when asepsis fails vs is maintained, sourced and dated.</w:t>
      </w:r>
    </w:p>
    <w:p>
      <w:pPr>
        <w:pStyle w:val="Heading2"/>
      </w:pPr>
      <w:r>
        <w:t xml:space="preserve">6. Required educational animations</w:t>
      </w:r>
    </w:p>
    <w:p>
      <w:pPr>
        <w:pStyle w:val="ListParagraph"/>
        <w:numPr>
          <w:ilvl w:val="0"/>
          <w:numId w:val="2"/>
        </w:numPr>
        <w:spacing w:after="90"/>
      </w:pPr>
      <w:r>
        <w:rPr>
          <w:b/>
          <w:bCs/>
          <w:color w:val="1F4E5C"/>
        </w:rPr>
        <w:t xml:space="preserve">Pathogen transmission route (75s) [CLINICAL SIGN-OFF] — </w:t>
      </w:r>
      <w:r>
        <w:t xml:space="preserve">Animation of how a bloodborne pathogen could transmit via contaminated equipment, and how single-use practice prevents it.</w:t>
      </w:r>
    </w:p>
    <w:p>
      <w:pPr>
        <w:pStyle w:val="ListParagraph"/>
        <w:numPr>
          <w:ilvl w:val="0"/>
          <w:numId w:val="2"/>
        </w:numPr>
        <w:spacing w:after="90"/>
      </w:pPr>
      <w:r>
        <w:rPr>
          <w:b/>
          <w:bCs/>
          <w:color w:val="1F4E5C"/>
        </w:rPr>
        <w:t xml:space="preserve">Aseptic field set-up (60s) [CLINICAL SIGN-OFF] — </w:t>
      </w:r>
      <w:r>
        <w:t xml:space="preserve">A motion build of a correct treatment field, clean-to-dirty.</w:t>
      </w:r>
    </w:p>
    <w:p>
      <w:pPr>
        <w:pStyle w:val="Heading2"/>
      </w:pPr>
      <w:r>
        <w:t xml:space="preserve">7. Required practical demonstration videos</w:t>
      </w:r>
    </w:p>
    <w:p>
      <w:pPr>
        <w:pStyle w:val="ListParagraph"/>
        <w:numPr>
          <w:ilvl w:val="0"/>
          <w:numId w:val="2"/>
        </w:numPr>
        <w:spacing w:after="90"/>
      </w:pPr>
      <w:r>
        <w:rPr>
          <w:b/>
          <w:bCs/>
          <w:color w:val="1F4E5C"/>
        </w:rPr>
        <w:t xml:space="preserve">Full infection-control protocol (12–15 min) [CLINICAL SIGN-OFF] — </w:t>
      </w:r>
      <w:r>
        <w:t xml:space="preserve">The definitive demonstration: hand hygiene, PPE, field set-up, single-use handling, incision-area asepsis (no client incision required), sharps disposal, waste segregation, surface decontamination, and spill response. Chaptered; this video is the spine of the programme's safety claim.</w:t>
      </w:r>
    </w:p>
    <w:p>
      <w:pPr>
        <w:pStyle w:val="ListParagraph"/>
        <w:numPr>
          <w:ilvl w:val="0"/>
          <w:numId w:val="2"/>
        </w:numPr>
        <w:spacing w:after="90"/>
      </w:pPr>
      <w:r>
        <w:rPr>
          <w:b/>
          <w:bCs/>
          <w:color w:val="1F4E5C"/>
        </w:rPr>
        <w:t xml:space="preserve">Sharps-incident &amp; spillage response (4–5 min) [CLINICAL SIGN-OFF] — </w:t>
      </w:r>
      <w:r>
        <w:t xml:space="preserve">What to do after a sharps injury or blood spill, step by step.</w:t>
      </w:r>
    </w:p>
    <w:p>
      <w:pPr>
        <w:pStyle w:val="Heading2"/>
      </w:pPr>
      <w:r>
        <w:t xml:space="preserve">8. Required downloadable resources</w:t>
      </w:r>
    </w:p>
    <w:p>
      <w:pPr>
        <w:pStyle w:val="ListParagraph"/>
        <w:numPr>
          <w:ilvl w:val="0"/>
          <w:numId w:val="2"/>
        </w:numPr>
        <w:spacing w:after="90"/>
      </w:pPr>
      <w:r>
        <w:rPr>
          <w:b/>
          <w:bCs/>
          <w:color w:val="1F4E5C"/>
        </w:rPr>
        <w:t xml:space="preserve">Infection-control SOP pack — </w:t>
      </w:r>
      <w:r>
        <w:t xml:space="preserve">Written standard operating procedures matching the master video.</w:t>
      </w:r>
    </w:p>
    <w:p>
      <w:pPr>
        <w:pStyle w:val="ListParagraph"/>
        <w:numPr>
          <w:ilvl w:val="0"/>
          <w:numId w:val="2"/>
        </w:numPr>
        <w:spacing w:after="90"/>
      </w:pPr>
      <w:r>
        <w:rPr>
          <w:b/>
          <w:bCs/>
          <w:color w:val="1F4E5C"/>
        </w:rPr>
        <w:t xml:space="preserve">Pre-treatment hygiene checklist — </w:t>
      </w:r>
      <w:r>
        <w:t xml:space="preserve">A printable tick-list to run before every session.</w:t>
      </w:r>
    </w:p>
    <w:p>
      <w:pPr>
        <w:pStyle w:val="ListParagraph"/>
        <w:numPr>
          <w:ilvl w:val="0"/>
          <w:numId w:val="2"/>
        </w:numPr>
        <w:spacing w:after="90"/>
      </w:pPr>
      <w:r>
        <w:rPr>
          <w:b/>
          <w:bCs/>
          <w:color w:val="1F4E5C"/>
        </w:rPr>
        <w:t xml:space="preserve">Spill-kit &amp; sharps-injury action cards — </w:t>
      </w:r>
      <w:r>
        <w:t xml:space="preserve">Emergency reference cards for the clinic wall.</w:t>
      </w:r>
    </w:p>
    <w:p>
      <w:pPr>
        <w:pStyle w:val="Heading2"/>
      </w:pPr>
      <w:r>
        <w:t xml:space="preserve">9. Required worksheets</w:t>
      </w:r>
    </w:p>
    <w:p>
      <w:pPr>
        <w:pStyle w:val="ListParagraph"/>
        <w:numPr>
          <w:ilvl w:val="0"/>
          <w:numId w:val="2"/>
        </w:numPr>
        <w:spacing w:after="90"/>
      </w:pPr>
      <w:r>
        <w:rPr>
          <w:b/>
          <w:bCs/>
          <w:color w:val="1F4E5C"/>
        </w:rPr>
        <w:t xml:space="preserve">Spot-the-breach worksheet — </w:t>
      </w:r>
      <w:r>
        <w:t xml:space="preserve">Annotated scene images where students identify infection-control failures.</w:t>
      </w:r>
    </w:p>
    <w:p>
      <w:pPr>
        <w:pStyle w:val="ListParagraph"/>
        <w:numPr>
          <w:ilvl w:val="0"/>
          <w:numId w:val="2"/>
        </w:numPr>
        <w:spacing w:after="90"/>
      </w:pPr>
      <w:r>
        <w:rPr>
          <w:b/>
          <w:bCs/>
          <w:color w:val="1F4E5C"/>
        </w:rPr>
        <w:t xml:space="preserve">Clinic set-up planning worksheet — </w:t>
      </w:r>
      <w:r>
        <w:t xml:space="preserve">Students design a compliant clean/dirty layout for their own space.</w:t>
      </w:r>
    </w:p>
    <w:p>
      <w:pPr>
        <w:pStyle w:val="Heading2"/>
      </w:pPr>
      <w:r>
        <w:t xml:space="preserve">10. Required assessment assets</w:t>
      </w:r>
    </w:p>
    <w:p>
      <w:pPr>
        <w:pStyle w:val="ListParagraph"/>
        <w:numPr>
          <w:ilvl w:val="0"/>
          <w:numId w:val="2"/>
        </w:numPr>
        <w:spacing w:after="90"/>
      </w:pPr>
      <w:r>
        <w:rPr>
          <w:b/>
          <w:bCs/>
          <w:color w:val="1F4E5C"/>
        </w:rPr>
        <w:t xml:space="preserve">Sequence-the-steps interaction [CLINICAL SIGN-OFF] — </w:t>
      </w:r>
      <w:r>
        <w:t xml:space="preserve">Order the infection-control steps correctly; safety-critical, high pass threshold.</w:t>
      </w:r>
    </w:p>
    <w:p>
      <w:pPr>
        <w:pStyle w:val="ListParagraph"/>
        <w:numPr>
          <w:ilvl w:val="0"/>
          <w:numId w:val="2"/>
        </w:numPr>
        <w:spacing w:after="90"/>
      </w:pPr>
      <w:r>
        <w:rPr>
          <w:b/>
          <w:bCs/>
          <w:color w:val="1F4E5C"/>
        </w:rPr>
        <w:t xml:space="preserve">Hygiene OSCE checklist — </w:t>
      </w:r>
      <w:r>
        <w:t xml:space="preserve">The observable competency checklist used in supervised practical assessment, with critical-fail items marked.</w:t>
      </w:r>
    </w:p>
    <w:p>
      <w:r>
        <w:br w:type="page"/>
      </w:r>
    </w:p>
    <w:p>
      <w:pPr>
        <w:pStyle w:val="Heading1"/>
      </w:pPr>
      <w:r>
        <w:t xml:space="preserve">M5 — Contraindications, Red Flags, Risk Assessment &amp; Medical Screening</w:t>
      </w:r>
    </w:p>
    <w:p>
      <w:pPr>
        <w:spacing w:after="140"/>
      </w:pPr>
      <w:r>
        <w:rPr>
          <w:i/>
          <w:iCs/>
          <w:color w:val="666666"/>
        </w:rPr>
        <w:t xml:space="preserve">Clinical judgement made visual. Assets turn lists of contraindications into fast, memorable, decision-ready references.</w:t>
      </w:r>
    </w:p>
    <w:p>
      <w:pPr>
        <w:pStyle w:val="Heading2"/>
      </w:pPr>
      <w:r>
        <w:t xml:space="preserve">1. Required professional photography</w:t>
      </w:r>
    </w:p>
    <w:p>
      <w:pPr>
        <w:pStyle w:val="ListParagraph"/>
        <w:numPr>
          <w:ilvl w:val="0"/>
          <w:numId w:val="2"/>
        </w:numPr>
        <w:spacing w:after="90"/>
      </w:pPr>
      <w:r>
        <w:rPr>
          <w:b/>
          <w:bCs/>
          <w:color w:val="1F4E5C"/>
        </w:rPr>
        <w:t xml:space="preserve">Consultation scene set — </w:t>
      </w:r>
      <w:r>
        <w:t xml:space="preserve">Photographs of a calm, professional screening consultation, including note-taking and a chaperone arrangement.</w:t>
      </w:r>
    </w:p>
    <w:p>
      <w:pPr>
        <w:pStyle w:val="Heading2"/>
      </w:pPr>
      <w:r>
        <w:t xml:space="preserve">2. Required anatomical diagrams</w:t>
      </w:r>
    </w:p>
    <w:p>
      <w:pPr>
        <w:pStyle w:val="ListParagraph"/>
        <w:numPr>
          <w:ilvl w:val="0"/>
          <w:numId w:val="2"/>
        </w:numPr>
        <w:spacing w:after="90"/>
      </w:pPr>
      <w:r>
        <w:rPr>
          <w:b/>
          <w:bCs/>
          <w:color w:val="1F4E5C"/>
        </w:rPr>
        <w:t xml:space="preserve">Caution-region recap — </w:t>
      </w:r>
      <w:r>
        <w:t xml:space="preserve">A simplified reuse of the M3 danger-zones atlas, re-tied to contraindications.</w:t>
      </w:r>
    </w:p>
    <w:p>
      <w:pPr>
        <w:pStyle w:val="Heading2"/>
      </w:pPr>
      <w:r>
        <w:t xml:space="preserve">3. Required infographics</w:t>
      </w:r>
    </w:p>
    <w:p>
      <w:pPr>
        <w:pStyle w:val="ListParagraph"/>
        <w:numPr>
          <w:ilvl w:val="0"/>
          <w:numId w:val="2"/>
        </w:numPr>
        <w:spacing w:after="90"/>
      </w:pPr>
      <w:r>
        <w:rPr>
          <w:b/>
          <w:bCs/>
          <w:color w:val="1F4E5C"/>
        </w:rPr>
        <w:t xml:space="preserve">Absolute vs relative contraindications panel — </w:t>
      </w:r>
      <w:r>
        <w:t xml:space="preserve">A two-column visual clearly separating 'never treat' from 'treat with modification', with examples.</w:t>
      </w:r>
    </w:p>
    <w:p>
      <w:pPr>
        <w:pStyle w:val="ListParagraph"/>
        <w:numPr>
          <w:ilvl w:val="0"/>
          <w:numId w:val="2"/>
        </w:numPr>
        <w:spacing w:after="90"/>
      </w:pPr>
      <w:r>
        <w:rPr>
          <w:b/>
          <w:bCs/>
          <w:color w:val="1F4E5C"/>
        </w:rPr>
        <w:t xml:space="preserve">Red-flag recognition card — </w:t>
      </w:r>
      <w:r>
        <w:t xml:space="preserve">A bold visual of warning signs that mandate referral rather than treatment.</w:t>
      </w:r>
    </w:p>
    <w:p>
      <w:pPr>
        <w:pStyle w:val="ListParagraph"/>
        <w:numPr>
          <w:ilvl w:val="0"/>
          <w:numId w:val="2"/>
        </w:numPr>
        <w:spacing w:after="90"/>
      </w:pPr>
      <w:r>
        <w:rPr>
          <w:b/>
          <w:bCs/>
          <w:color w:val="1F4E5C"/>
        </w:rPr>
        <w:t xml:space="preserve">Medication-awareness panel — </w:t>
      </w:r>
      <w:r>
        <w:t xml:space="preserve">An honest guide to medications affecting bleeding/healing (e.g. anticoagulants) that change the decision — framed as 'when to pause and check', not prescribing advice.</w:t>
      </w:r>
    </w:p>
    <w:p>
      <w:pPr>
        <w:pStyle w:val="Heading2"/>
      </w:pPr>
      <w:r>
        <w:t xml:space="preserve">4. Required charts &amp; graphs</w:t>
      </w:r>
    </w:p>
    <w:p>
      <w:pPr>
        <w:pStyle w:val="ListParagraph"/>
        <w:numPr>
          <w:ilvl w:val="0"/>
          <w:numId w:val="2"/>
        </w:numPr>
        <w:spacing w:after="90"/>
      </w:pPr>
      <w:r>
        <w:rPr>
          <w:b/>
          <w:bCs/>
          <w:color w:val="1F4E5C"/>
        </w:rPr>
        <w:t xml:space="preserve">Screening decision tree [CLINICAL SIGN-OFF] — </w:t>
      </w:r>
      <w:r>
        <w:t xml:space="preserve">A full flow chart from intake through risk stratification to proceed / modify / refer / decline.</w:t>
      </w:r>
    </w:p>
    <w:p>
      <w:pPr>
        <w:pStyle w:val="ListParagraph"/>
        <w:numPr>
          <w:ilvl w:val="0"/>
          <w:numId w:val="2"/>
        </w:numPr>
        <w:spacing w:after="90"/>
      </w:pPr>
      <w:r>
        <w:rPr>
          <w:b/>
          <w:bCs/>
          <w:color w:val="1F4E5C"/>
        </w:rPr>
        <w:t xml:space="preserve">Risk-stratification matrix — </w:t>
      </w:r>
      <w:r>
        <w:t xml:space="preserve">A likelihood/severity grid for categorising client risk.</w:t>
      </w:r>
    </w:p>
    <w:p>
      <w:pPr>
        <w:pStyle w:val="Heading2"/>
      </w:pPr>
      <w:r>
        <w:t xml:space="preserve">5. Required statistics &amp; research visualisations</w:t>
      </w:r>
    </w:p>
    <w:p>
      <w:pPr>
        <w:pStyle w:val="ListParagraph"/>
        <w:numPr>
          <w:ilvl w:val="0"/>
          <w:numId w:val="2"/>
        </w:numPr>
        <w:spacing w:after="90"/>
      </w:pPr>
      <w:r>
        <w:rPr>
          <w:b/>
          <w:bCs/>
          <w:color w:val="1F4E5C"/>
        </w:rPr>
        <w:t xml:space="preserve">Why screening matters panel — </w:t>
      </w:r>
      <w:r>
        <w:t xml:space="preserve">A data-honest visual of adverse events associated with unscreened practice, sourced, motivating rigour without scaremongering.</w:t>
      </w:r>
    </w:p>
    <w:p>
      <w:pPr>
        <w:pStyle w:val="Heading2"/>
      </w:pPr>
      <w:r>
        <w:t xml:space="preserve">6. Required educational animations</w:t>
      </w:r>
    </w:p>
    <w:p>
      <w:pPr>
        <w:pStyle w:val="ListParagraph"/>
        <w:numPr>
          <w:ilvl w:val="0"/>
          <w:numId w:val="2"/>
        </w:numPr>
        <w:spacing w:after="90"/>
      </w:pPr>
      <w:r>
        <w:rPr>
          <w:b/>
          <w:bCs/>
          <w:color w:val="1F4E5C"/>
        </w:rPr>
        <w:t xml:space="preserve">The screening journey (90s) — </w:t>
      </w:r>
      <w:r>
        <w:t xml:space="preserve">An animated walk-through of a model screening encounter, branching at key decision points.</w:t>
      </w:r>
    </w:p>
    <w:p>
      <w:pPr>
        <w:pStyle w:val="Heading2"/>
      </w:pPr>
      <w:r>
        <w:t xml:space="preserve">7. Required practical demonstration videos</w:t>
      </w:r>
    </w:p>
    <w:p>
      <w:pPr>
        <w:pStyle w:val="ListParagraph"/>
        <w:numPr>
          <w:ilvl w:val="0"/>
          <w:numId w:val="2"/>
        </w:numPr>
        <w:spacing w:after="90"/>
      </w:pPr>
      <w:r>
        <w:rPr>
          <w:b/>
          <w:bCs/>
          <w:color w:val="1F4E5C"/>
        </w:rPr>
        <w:t xml:space="preserve">Screening consultation, full (10–12 min) — </w:t>
      </w:r>
      <w:r>
        <w:t xml:space="preserve">A filmed end-to-end screening, including a case where the practitioner correctly declines/refers — modelling that referral is competence, not failure.</w:t>
      </w:r>
    </w:p>
    <w:p>
      <w:pPr>
        <w:pStyle w:val="ListParagraph"/>
        <w:numPr>
          <w:ilvl w:val="0"/>
          <w:numId w:val="2"/>
        </w:numPr>
        <w:spacing w:after="90"/>
      </w:pPr>
      <w:r>
        <w:rPr>
          <w:b/>
          <w:bCs/>
          <w:color w:val="1F4E5C"/>
        </w:rPr>
        <w:t xml:space="preserve">Difficult-conversation vignettes (5–6 min) — </w:t>
      </w:r>
      <w:r>
        <w:t xml:space="preserve">Short dramatised scenarios: the client who stopped medication; the unsuitable client who insists. Modelled responses.</w:t>
      </w:r>
    </w:p>
    <w:p>
      <w:pPr>
        <w:pStyle w:val="Heading2"/>
      </w:pPr>
      <w:r>
        <w:t xml:space="preserve">8. Required downloadable resources</w:t>
      </w:r>
    </w:p>
    <w:p>
      <w:pPr>
        <w:pStyle w:val="ListParagraph"/>
        <w:numPr>
          <w:ilvl w:val="0"/>
          <w:numId w:val="2"/>
        </w:numPr>
        <w:spacing w:after="90"/>
      </w:pPr>
      <w:r>
        <w:rPr>
          <w:b/>
          <w:bCs/>
          <w:color w:val="1F4E5C"/>
        </w:rPr>
        <w:t xml:space="preserve">Medical-screening form template — </w:t>
      </w:r>
      <w:r>
        <w:t xml:space="preserve">The branded intake/screening document.</w:t>
      </w:r>
    </w:p>
    <w:p>
      <w:pPr>
        <w:pStyle w:val="ListParagraph"/>
        <w:numPr>
          <w:ilvl w:val="0"/>
          <w:numId w:val="2"/>
        </w:numPr>
        <w:spacing w:after="90"/>
      </w:pPr>
      <w:r>
        <w:rPr>
          <w:b/>
          <w:bCs/>
          <w:color w:val="1F4E5C"/>
        </w:rPr>
        <w:t xml:space="preserve">Contraindications quick-reference card — </w:t>
      </w:r>
      <w:r>
        <w:t xml:space="preserve">Absolute/relative/red-flag at a glance.</w:t>
      </w:r>
    </w:p>
    <w:p>
      <w:pPr>
        <w:pStyle w:val="ListParagraph"/>
        <w:numPr>
          <w:ilvl w:val="0"/>
          <w:numId w:val="2"/>
        </w:numPr>
        <w:spacing w:after="90"/>
      </w:pPr>
      <w:r>
        <w:rPr>
          <w:b/>
          <w:bCs/>
          <w:color w:val="1F4E5C"/>
        </w:rPr>
        <w:t xml:space="preserve">Referral letter template — </w:t>
      </w:r>
      <w:r>
        <w:t xml:space="preserve">A professional template for directing clients to their GP.</w:t>
      </w:r>
    </w:p>
    <w:p>
      <w:pPr>
        <w:pStyle w:val="Heading2"/>
      </w:pPr>
      <w:r>
        <w:t xml:space="preserve">9. Required worksheets</w:t>
      </w:r>
    </w:p>
    <w:p>
      <w:pPr>
        <w:pStyle w:val="ListParagraph"/>
        <w:numPr>
          <w:ilvl w:val="0"/>
          <w:numId w:val="2"/>
        </w:numPr>
        <w:spacing w:after="90"/>
      </w:pPr>
      <w:r>
        <w:rPr>
          <w:b/>
          <w:bCs/>
          <w:color w:val="1F4E5C"/>
        </w:rPr>
        <w:t xml:space="preserve">Case-screening worksheets — </w:t>
      </w:r>
      <w:r>
        <w:t xml:space="preserve">Several client vignettes for students to risk-assess and decide.</w:t>
      </w:r>
    </w:p>
    <w:p>
      <w:pPr>
        <w:pStyle w:val="ListParagraph"/>
        <w:numPr>
          <w:ilvl w:val="0"/>
          <w:numId w:val="2"/>
        </w:numPr>
        <w:spacing w:after="90"/>
      </w:pPr>
      <w:r>
        <w:rPr>
          <w:b/>
          <w:bCs/>
          <w:color w:val="1F4E5C"/>
        </w:rPr>
        <w:t xml:space="preserve">Red-flag drill worksheet — </w:t>
      </w:r>
      <w:r>
        <w:t xml:space="preserve">Rapid-recognition practice.</w:t>
      </w:r>
    </w:p>
    <w:p>
      <w:pPr>
        <w:pStyle w:val="Heading2"/>
      </w:pPr>
      <w:r>
        <w:t xml:space="preserve">10. Required assessment assets</w:t>
      </w:r>
    </w:p>
    <w:p>
      <w:pPr>
        <w:pStyle w:val="ListParagraph"/>
        <w:numPr>
          <w:ilvl w:val="0"/>
          <w:numId w:val="2"/>
        </w:numPr>
        <w:spacing w:after="90"/>
      </w:pPr>
      <w:r>
        <w:rPr>
          <w:b/>
          <w:bCs/>
          <w:color w:val="1F4E5C"/>
        </w:rPr>
        <w:t xml:space="preserve">Branching scenario simulation — </w:t>
      </w:r>
      <w:r>
        <w:t xml:space="preserve">An interactive client case where choices route to outcomes; scored on safe decision-making.</w:t>
      </w:r>
    </w:p>
    <w:p>
      <w:pPr>
        <w:pStyle w:val="ListParagraph"/>
        <w:numPr>
          <w:ilvl w:val="0"/>
          <w:numId w:val="2"/>
        </w:numPr>
        <w:spacing w:after="90"/>
      </w:pPr>
      <w:r>
        <w:rPr>
          <w:b/>
          <w:bCs/>
          <w:color w:val="1F4E5C"/>
        </w:rPr>
        <w:t xml:space="preserve">Contraindication classification quiz — </w:t>
      </w:r>
      <w:r>
        <w:t xml:space="preserve">Sort conditions into absolute/relative/none; safety-weighted.</w:t>
      </w:r>
    </w:p>
    <w:p>
      <w:r>
        <w:br w:type="page"/>
      </w:r>
    </w:p>
    <w:p>
      <w:pPr>
        <w:pStyle w:val="Heading1"/>
      </w:pPr>
      <w:r>
        <w:t xml:space="preserve">M6 — Professional Ethics, Confidentiality, GDPR &amp; Safeguarding</w:t>
      </w:r>
    </w:p>
    <w:p>
      <w:pPr>
        <w:spacing w:after="140"/>
      </w:pPr>
      <w:r>
        <w:rPr>
          <w:i/>
          <w:iCs/>
          <w:color w:val="666666"/>
        </w:rPr>
        <w:t xml:space="preserve">The trust layer. Assets make abstract duties concrete and memorable, and give students usable templates.</w:t>
      </w:r>
    </w:p>
    <w:p>
      <w:pPr>
        <w:pStyle w:val="Heading2"/>
      </w:pPr>
      <w:r>
        <w:t xml:space="preserve">1. Required professional photography</w:t>
      </w:r>
    </w:p>
    <w:p>
      <w:pPr>
        <w:pStyle w:val="ListParagraph"/>
        <w:numPr>
          <w:ilvl w:val="0"/>
          <w:numId w:val="2"/>
        </w:numPr>
        <w:spacing w:after="90"/>
      </w:pPr>
      <w:r>
        <w:rPr>
          <w:b/>
          <w:bCs/>
          <w:color w:val="1F4E5C"/>
        </w:rPr>
        <w:t xml:space="preserve">Professional-conduct scenes — </w:t>
      </w:r>
      <w:r>
        <w:t xml:space="preserve">Photographs depicting dignity, modesty protection, secure record handling, and a chaperoned setting.</w:t>
      </w:r>
    </w:p>
    <w:p>
      <w:pPr>
        <w:pStyle w:val="Heading2"/>
      </w:pPr>
      <w:r>
        <w:t xml:space="preserve">2. Required anatomical diagrams</w:t>
      </w:r>
    </w:p>
    <w:p>
      <w:pPr>
        <w:spacing w:after="140"/>
      </w:pPr>
      <w:r>
        <w:rPr>
          <w:i/>
          <w:iCs/>
          <w:color w:val="666666"/>
        </w:rPr>
        <w:t xml:space="preserve">Not applicable for this module; covered by shared programme assets (see Part D, reusability).</w:t>
      </w:r>
    </w:p>
    <w:p>
      <w:pPr>
        <w:pStyle w:val="Heading2"/>
      </w:pPr>
      <w:r>
        <w:t xml:space="preserve">3. Required infographics</w:t>
      </w:r>
    </w:p>
    <w:p>
      <w:pPr>
        <w:pStyle w:val="ListParagraph"/>
        <w:numPr>
          <w:ilvl w:val="0"/>
          <w:numId w:val="2"/>
        </w:numPr>
        <w:spacing w:after="90"/>
      </w:pPr>
      <w:r>
        <w:rPr>
          <w:b/>
          <w:bCs/>
          <w:color w:val="1F4E5C"/>
        </w:rPr>
        <w:t xml:space="preserve">Ethical principles wheel — </w:t>
      </w:r>
      <w:r>
        <w:t xml:space="preserve">A visual of the programme's core values (dignity, safety, honesty, excellence) with concrete behaviours under each.</w:t>
      </w:r>
    </w:p>
    <w:p>
      <w:pPr>
        <w:pStyle w:val="ListParagraph"/>
        <w:numPr>
          <w:ilvl w:val="0"/>
          <w:numId w:val="2"/>
        </w:numPr>
        <w:spacing w:after="90"/>
      </w:pPr>
      <w:r>
        <w:rPr>
          <w:b/>
          <w:bCs/>
          <w:color w:val="1F4E5C"/>
        </w:rPr>
        <w:t xml:space="preserve">GDPR-in-practice panel — </w:t>
      </w:r>
      <w:r>
        <w:t xml:space="preserve">A plain-English visual of lawful basis, data minimisation, storage, retention, and client rights for a small clinic.</w:t>
      </w:r>
    </w:p>
    <w:p>
      <w:pPr>
        <w:pStyle w:val="ListParagraph"/>
        <w:numPr>
          <w:ilvl w:val="0"/>
          <w:numId w:val="2"/>
        </w:numPr>
        <w:spacing w:after="90"/>
      </w:pPr>
      <w:r>
        <w:rPr>
          <w:b/>
          <w:bCs/>
          <w:color w:val="1F4E5C"/>
        </w:rPr>
        <w:t xml:space="preserve">Safeguarding routes diagram — </w:t>
      </w:r>
      <w:r>
        <w:t xml:space="preserve">A clear 'what you notice → what you do → who you tell' pathway for adults and children at risk.</w:t>
      </w:r>
    </w:p>
    <w:p>
      <w:pPr>
        <w:pStyle w:val="ListParagraph"/>
        <w:numPr>
          <w:ilvl w:val="0"/>
          <w:numId w:val="2"/>
        </w:numPr>
        <w:spacing w:after="90"/>
      </w:pPr>
      <w:r>
        <w:rPr>
          <w:b/>
          <w:bCs/>
          <w:color w:val="1F4E5C"/>
        </w:rPr>
        <w:t xml:space="preserve">Consent vs confidentiality boundary — </w:t>
      </w:r>
      <w:r>
        <w:t xml:space="preserve">A visual of when confidentiality can and must be broken.</w:t>
      </w:r>
    </w:p>
    <w:p>
      <w:pPr>
        <w:pStyle w:val="Heading2"/>
      </w:pPr>
      <w:r>
        <w:t xml:space="preserve">4. Required charts &amp; graphs</w:t>
      </w:r>
    </w:p>
    <w:p>
      <w:pPr>
        <w:pStyle w:val="ListParagraph"/>
        <w:numPr>
          <w:ilvl w:val="0"/>
          <w:numId w:val="2"/>
        </w:numPr>
        <w:spacing w:after="90"/>
      </w:pPr>
      <w:r>
        <w:rPr>
          <w:b/>
          <w:bCs/>
          <w:color w:val="1F4E5C"/>
        </w:rPr>
        <w:t xml:space="preserve">Data-lifecycle flow — </w:t>
      </w:r>
      <w:r>
        <w:t xml:space="preserve">A flow of client data from collection to secure destruction, with retention timelines.</w:t>
      </w:r>
    </w:p>
    <w:p>
      <w:pPr>
        <w:pStyle w:val="Heading2"/>
      </w:pPr>
      <w:r>
        <w:t xml:space="preserve">5. Required statistics &amp; research visualisations</w:t>
      </w:r>
    </w:p>
    <w:p>
      <w:pPr>
        <w:pStyle w:val="ListParagraph"/>
        <w:numPr>
          <w:ilvl w:val="0"/>
          <w:numId w:val="2"/>
        </w:numPr>
        <w:spacing w:after="90"/>
      </w:pPr>
      <w:r>
        <w:rPr>
          <w:b/>
          <w:bCs/>
          <w:color w:val="1F4E5C"/>
        </w:rPr>
        <w:t xml:space="preserve">Complaints &amp; breaches context — </w:t>
      </w:r>
      <w:r>
        <w:t xml:space="preserve">A sober panel on common causes of complaints/data breaches in small clinics, motivating the safeguards.</w:t>
      </w:r>
    </w:p>
    <w:p>
      <w:pPr>
        <w:pStyle w:val="Heading2"/>
      </w:pPr>
      <w:r>
        <w:t xml:space="preserve">6. Required educational animations</w:t>
      </w:r>
    </w:p>
    <w:p>
      <w:pPr>
        <w:pStyle w:val="ListParagraph"/>
        <w:numPr>
          <w:ilvl w:val="0"/>
          <w:numId w:val="2"/>
        </w:numPr>
        <w:spacing w:after="90"/>
      </w:pPr>
      <w:r>
        <w:rPr>
          <w:b/>
          <w:bCs/>
          <w:color w:val="1F4E5C"/>
        </w:rPr>
        <w:t xml:space="preserve">A day in the life of client data (75s) — </w:t>
      </w:r>
      <w:r>
        <w:t xml:space="preserve">Animation following a record through the clinic, showing GDPR-compliant handling at each step.</w:t>
      </w:r>
    </w:p>
    <w:p>
      <w:pPr>
        <w:pStyle w:val="Heading2"/>
      </w:pPr>
      <w:r>
        <w:t xml:space="preserve">7. Required practical demonstration videos</w:t>
      </w:r>
    </w:p>
    <w:p>
      <w:pPr>
        <w:pStyle w:val="ListParagraph"/>
        <w:numPr>
          <w:ilvl w:val="0"/>
          <w:numId w:val="2"/>
        </w:numPr>
        <w:spacing w:after="90"/>
      </w:pPr>
      <w:r>
        <w:rPr>
          <w:b/>
          <w:bCs/>
          <w:color w:val="1F4E5C"/>
        </w:rPr>
        <w:t xml:space="preserve">Ethics &amp; boundaries masterclass (10–12 min) — </w:t>
      </w:r>
      <w:r>
        <w:t xml:space="preserve">Clinical lead on professional identity, boundaries, and the practitioner–client relationship; includes boundary-pressure vignettes.</w:t>
      </w:r>
    </w:p>
    <w:p>
      <w:pPr>
        <w:pStyle w:val="ListParagraph"/>
        <w:numPr>
          <w:ilvl w:val="0"/>
          <w:numId w:val="2"/>
        </w:numPr>
        <w:spacing w:after="90"/>
      </w:pPr>
      <w:r>
        <w:rPr>
          <w:b/>
          <w:bCs/>
          <w:color w:val="1F4E5C"/>
        </w:rPr>
        <w:t xml:space="preserve">Safeguarding scenarios (6–8 min) — </w:t>
      </w:r>
      <w:r>
        <w:t xml:space="preserve">Dramatised disclosures and the correct, calm response and escalation.</w:t>
      </w:r>
    </w:p>
    <w:p>
      <w:pPr>
        <w:pStyle w:val="Heading2"/>
      </w:pPr>
      <w:r>
        <w:t xml:space="preserve">8. Required downloadable resources</w:t>
      </w:r>
    </w:p>
    <w:p>
      <w:pPr>
        <w:pStyle w:val="ListParagraph"/>
        <w:numPr>
          <w:ilvl w:val="0"/>
          <w:numId w:val="2"/>
        </w:numPr>
        <w:spacing w:after="90"/>
      </w:pPr>
      <w:r>
        <w:rPr>
          <w:b/>
          <w:bCs/>
          <w:color w:val="1F4E5C"/>
        </w:rPr>
        <w:t xml:space="preserve">Privacy notice &amp; consent-to-store templates — </w:t>
      </w:r>
      <w:r>
        <w:t xml:space="preserve">GDPR-ready client-facing documents.</w:t>
      </w:r>
    </w:p>
    <w:p>
      <w:pPr>
        <w:pStyle w:val="ListParagraph"/>
        <w:numPr>
          <w:ilvl w:val="0"/>
          <w:numId w:val="2"/>
        </w:numPr>
        <w:spacing w:after="90"/>
      </w:pPr>
      <w:r>
        <w:rPr>
          <w:b/>
          <w:bCs/>
          <w:color w:val="1F4E5C"/>
        </w:rPr>
        <w:t xml:space="preserve">Confidentiality &amp; ethics policy template — </w:t>
      </w:r>
      <w:r>
        <w:t xml:space="preserve">A clinic policy the student can adopt.</w:t>
      </w:r>
    </w:p>
    <w:p>
      <w:pPr>
        <w:pStyle w:val="ListParagraph"/>
        <w:numPr>
          <w:ilvl w:val="0"/>
          <w:numId w:val="2"/>
        </w:numPr>
        <w:spacing w:after="90"/>
      </w:pPr>
      <w:r>
        <w:rPr>
          <w:b/>
          <w:bCs/>
          <w:color w:val="1F4E5C"/>
        </w:rPr>
        <w:t xml:space="preserve">Safeguarding procedure &amp; contacts card — </w:t>
      </w:r>
      <w:r>
        <w:t xml:space="preserve">A wall-ready escalation reference.</w:t>
      </w:r>
    </w:p>
    <w:p>
      <w:pPr>
        <w:pStyle w:val="Heading2"/>
      </w:pPr>
      <w:r>
        <w:t xml:space="preserve">9. Required worksheets</w:t>
      </w:r>
    </w:p>
    <w:p>
      <w:pPr>
        <w:pStyle w:val="ListParagraph"/>
        <w:numPr>
          <w:ilvl w:val="0"/>
          <w:numId w:val="2"/>
        </w:numPr>
        <w:spacing w:after="90"/>
      </w:pPr>
      <w:r>
        <w:rPr>
          <w:b/>
          <w:bCs/>
          <w:color w:val="1F4E5C"/>
        </w:rPr>
        <w:t xml:space="preserve">Ethical-dilemma worksheets — </w:t>
      </w:r>
      <w:r>
        <w:t xml:space="preserve">Scenarios to reason through against the principles.</w:t>
      </w:r>
    </w:p>
    <w:p>
      <w:pPr>
        <w:pStyle w:val="ListParagraph"/>
        <w:numPr>
          <w:ilvl w:val="0"/>
          <w:numId w:val="2"/>
        </w:numPr>
        <w:spacing w:after="90"/>
      </w:pPr>
      <w:r>
        <w:rPr>
          <w:b/>
          <w:bCs/>
          <w:color w:val="1F4E5C"/>
        </w:rPr>
        <w:t xml:space="preserve">GDPR self-audit — </w:t>
      </w:r>
      <w:r>
        <w:t xml:space="preserve">Students audit their own (planned) data practices.</w:t>
      </w:r>
    </w:p>
    <w:p>
      <w:pPr>
        <w:pStyle w:val="Heading2"/>
      </w:pPr>
      <w:r>
        <w:t xml:space="preserve">10. Required assessment assets</w:t>
      </w:r>
    </w:p>
    <w:p>
      <w:pPr>
        <w:pStyle w:val="ListParagraph"/>
        <w:numPr>
          <w:ilvl w:val="0"/>
          <w:numId w:val="2"/>
        </w:numPr>
        <w:spacing w:after="90"/>
      </w:pPr>
      <w:r>
        <w:rPr>
          <w:b/>
          <w:bCs/>
          <w:color w:val="1F4E5C"/>
        </w:rPr>
        <w:t xml:space="preserve">Scenario-judgement quiz — </w:t>
      </w:r>
      <w:r>
        <w:t xml:space="preserve">Choose the most professional response across ethics/safeguarding/GDPR cases.</w:t>
      </w:r>
    </w:p>
    <w:p>
      <w:pPr>
        <w:pStyle w:val="ListParagraph"/>
        <w:numPr>
          <w:ilvl w:val="0"/>
          <w:numId w:val="2"/>
        </w:numPr>
        <w:spacing w:after="90"/>
      </w:pPr>
      <w:r>
        <w:rPr>
          <w:b/>
          <w:bCs/>
          <w:color w:val="1F4E5C"/>
        </w:rPr>
        <w:t xml:space="preserve">Policy-build assignment — </w:t>
      </w:r>
      <w:r>
        <w:t xml:space="preserve">Students assemble their own confidentiality and safeguarding policies from templates; rubric-graded.</w:t>
      </w:r>
    </w:p>
    <w:p>
      <w:r>
        <w:br w:type="page"/>
      </w:r>
    </w:p>
    <w:p>
      <w:pPr>
        <w:pStyle w:val="Heading1"/>
      </w:pPr>
      <w:r>
        <w:t xml:space="preserve">M7 — Consent, Consultation, Treatment Planning &amp; Clinical Documentation</w:t>
      </w:r>
    </w:p>
    <w:p>
      <w:pPr>
        <w:spacing w:after="140"/>
      </w:pPr>
      <w:r>
        <w:rPr>
          <w:i/>
          <w:iCs/>
          <w:color w:val="666666"/>
        </w:rPr>
        <w:t xml:space="preserve">The clinical-workflow module. Assets are heavily template- and demonstration-driven so students can replicate professional practice exactly.</w:t>
      </w:r>
    </w:p>
    <w:p>
      <w:pPr>
        <w:pStyle w:val="Heading2"/>
      </w:pPr>
      <w:r>
        <w:t xml:space="preserve">1. Required professional photography</w:t>
      </w:r>
    </w:p>
    <w:p>
      <w:pPr>
        <w:pStyle w:val="ListParagraph"/>
        <w:numPr>
          <w:ilvl w:val="0"/>
          <w:numId w:val="2"/>
        </w:numPr>
        <w:spacing w:after="90"/>
      </w:pPr>
      <w:r>
        <w:rPr>
          <w:b/>
          <w:bCs/>
          <w:color w:val="1F4E5C"/>
        </w:rPr>
        <w:t xml:space="preserve">Consultation &amp; consent scenes — </w:t>
      </w:r>
      <w:r>
        <w:t xml:space="preserve">Photographs of a structured consultation, the consent conversation, and accurate record-keeping.</w:t>
      </w:r>
    </w:p>
    <w:p>
      <w:pPr>
        <w:pStyle w:val="ListParagraph"/>
        <w:numPr>
          <w:ilvl w:val="0"/>
          <w:numId w:val="2"/>
        </w:numPr>
        <w:spacing w:after="90"/>
      </w:pPr>
      <w:r>
        <w:rPr>
          <w:b/>
          <w:bCs/>
          <w:color w:val="1F4E5C"/>
        </w:rPr>
        <w:t xml:space="preserve">Documentation close-ups — </w:t>
      </w:r>
      <w:r>
        <w:t xml:space="preserve">Clean shots of well-completed (anonymised) consultation and treatment records.</w:t>
      </w:r>
    </w:p>
    <w:p>
      <w:pPr>
        <w:pStyle w:val="Heading2"/>
      </w:pPr>
      <w:r>
        <w:t xml:space="preserve">2. Required anatomical diagrams</w:t>
      </w:r>
    </w:p>
    <w:p>
      <w:pPr>
        <w:pStyle w:val="ListParagraph"/>
        <w:numPr>
          <w:ilvl w:val="0"/>
          <w:numId w:val="2"/>
        </w:numPr>
        <w:spacing w:after="90"/>
      </w:pPr>
      <w:r>
        <w:rPr>
          <w:b/>
          <w:bCs/>
          <w:color w:val="1F4E5C"/>
        </w:rPr>
        <w:t xml:space="preserve">Body-map record illustration — </w:t>
      </w:r>
      <w:r>
        <w:t xml:space="preserve">A blank body-map graphic used within treatment records to mark planned and treated sites.</w:t>
      </w:r>
    </w:p>
    <w:p>
      <w:pPr>
        <w:pStyle w:val="Heading2"/>
      </w:pPr>
      <w:r>
        <w:t xml:space="preserve">3. Required infographics</w:t>
      </w:r>
    </w:p>
    <w:p>
      <w:pPr>
        <w:pStyle w:val="ListParagraph"/>
        <w:numPr>
          <w:ilvl w:val="0"/>
          <w:numId w:val="2"/>
        </w:numPr>
        <w:spacing w:after="90"/>
      </w:pPr>
      <w:r>
        <w:rPr>
          <w:b/>
          <w:bCs/>
          <w:color w:val="1F4E5C"/>
        </w:rPr>
        <w:t xml:space="preserve">Anatomy of valid consent — </w:t>
      </w:r>
      <w:r>
        <w:t xml:space="preserve">A visual breaking informed consent into its components (capacity, information, voluntariness, specificity) for this procedure.</w:t>
      </w:r>
    </w:p>
    <w:p>
      <w:pPr>
        <w:pStyle w:val="ListParagraph"/>
        <w:numPr>
          <w:ilvl w:val="0"/>
          <w:numId w:val="2"/>
        </w:numPr>
        <w:spacing w:after="90"/>
      </w:pPr>
      <w:r>
        <w:rPr>
          <w:b/>
          <w:bCs/>
          <w:color w:val="1F4E5C"/>
        </w:rPr>
        <w:t xml:space="preserve">Consultation framework panel — </w:t>
      </w:r>
      <w:r>
        <w:t xml:space="preserve">A structured visual of the consultation flow from rapport to plan.</w:t>
      </w:r>
    </w:p>
    <w:p>
      <w:pPr>
        <w:pStyle w:val="ListParagraph"/>
        <w:numPr>
          <w:ilvl w:val="0"/>
          <w:numId w:val="2"/>
        </w:numPr>
        <w:spacing w:after="90"/>
      </w:pPr>
      <w:r>
        <w:rPr>
          <w:b/>
          <w:bCs/>
          <w:color w:val="1F4E5C"/>
        </w:rPr>
        <w:t xml:space="preserve">SOAP/clinical-note structure — </w:t>
      </w:r>
      <w:r>
        <w:t xml:space="preserve">A worked visual of how to structure a clinical note for a cupping session.</w:t>
      </w:r>
    </w:p>
    <w:p>
      <w:pPr>
        <w:pStyle w:val="Heading2"/>
      </w:pPr>
      <w:r>
        <w:t xml:space="preserve">4. Required charts &amp; graphs</w:t>
      </w:r>
    </w:p>
    <w:p>
      <w:pPr>
        <w:pStyle w:val="ListParagraph"/>
        <w:numPr>
          <w:ilvl w:val="0"/>
          <w:numId w:val="2"/>
        </w:numPr>
        <w:spacing w:after="90"/>
      </w:pPr>
      <w:r>
        <w:rPr>
          <w:b/>
          <w:bCs/>
          <w:color w:val="1F4E5C"/>
        </w:rPr>
        <w:t xml:space="preserve">Treatment-planning flow — </w:t>
      </w:r>
      <w:r>
        <w:t xml:space="preserve">A flow from assessment to plan to review, including dosing and frequency decision points (cross-ref M12).</w:t>
      </w:r>
    </w:p>
    <w:p>
      <w:pPr>
        <w:pStyle w:val="Heading2"/>
      </w:pPr>
      <w:r>
        <w:t xml:space="preserve">5. Required statistics &amp; research visualisations</w:t>
      </w:r>
    </w:p>
    <w:p>
      <w:pPr>
        <w:pStyle w:val="ListParagraph"/>
        <w:numPr>
          <w:ilvl w:val="0"/>
          <w:numId w:val="2"/>
        </w:numPr>
        <w:spacing w:after="90"/>
      </w:pPr>
      <w:r>
        <w:rPr>
          <w:b/>
          <w:bCs/>
          <w:color w:val="1F4E5C"/>
        </w:rPr>
        <w:t xml:space="preserve">Consent &amp; documentation in disputes — </w:t>
      </w:r>
      <w:r>
        <w:t xml:space="preserve">An honest panel on how good records and valid consent protect both client and practitioner.</w:t>
      </w:r>
    </w:p>
    <w:p>
      <w:pPr>
        <w:pStyle w:val="Heading2"/>
      </w:pPr>
      <w:r>
        <w:t xml:space="preserve">6. Required educational animations</w:t>
      </w:r>
    </w:p>
    <w:p>
      <w:pPr>
        <w:pStyle w:val="ListParagraph"/>
        <w:numPr>
          <w:ilvl w:val="0"/>
          <w:numId w:val="2"/>
        </w:numPr>
        <w:spacing w:after="90"/>
      </w:pPr>
      <w:r>
        <w:rPr>
          <w:b/>
          <w:bCs/>
          <w:color w:val="1F4E5C"/>
        </w:rPr>
        <w:t xml:space="preserve">The consent conversation (90s) — </w:t>
      </w:r>
      <w:r>
        <w:t xml:space="preserve">Animation modelling specific, jargon-free informed consent for wet cupping, including risks.</w:t>
      </w:r>
    </w:p>
    <w:p>
      <w:pPr>
        <w:pStyle w:val="Heading2"/>
      </w:pPr>
      <w:r>
        <w:t xml:space="preserve">7. Required practical demonstration videos</w:t>
      </w:r>
    </w:p>
    <w:p>
      <w:pPr>
        <w:pStyle w:val="ListParagraph"/>
        <w:numPr>
          <w:ilvl w:val="0"/>
          <w:numId w:val="2"/>
        </w:numPr>
        <w:spacing w:after="90"/>
      </w:pPr>
      <w:r>
        <w:rPr>
          <w:b/>
          <w:bCs/>
          <w:color w:val="1F4E5C"/>
        </w:rPr>
        <w:t xml:space="preserve">Full consultation-to-plan demonstration (12–15 min) — </w:t>
      </w:r>
      <w:r>
        <w:t xml:space="preserve">A complete filmed consultation: history, screening hand-off, consent, plan, and documentation — the workflow spine for Levels 2–3.</w:t>
      </w:r>
    </w:p>
    <w:p>
      <w:pPr>
        <w:pStyle w:val="ListParagraph"/>
        <w:numPr>
          <w:ilvl w:val="0"/>
          <w:numId w:val="2"/>
        </w:numPr>
        <w:spacing w:after="90"/>
      </w:pPr>
      <w:r>
        <w:rPr>
          <w:b/>
          <w:bCs/>
          <w:color w:val="1F4E5C"/>
        </w:rPr>
        <w:t xml:space="preserve">Documentation walkthrough (5–6 min) — </w:t>
      </w:r>
      <w:r>
        <w:t xml:space="preserve">Screen-and-desk capture of completing the records correctly.</w:t>
      </w:r>
    </w:p>
    <w:p>
      <w:pPr>
        <w:pStyle w:val="Heading2"/>
      </w:pPr>
      <w:r>
        <w:t xml:space="preserve">8. Required downloadable resources</w:t>
      </w:r>
    </w:p>
    <w:p>
      <w:pPr>
        <w:pStyle w:val="ListParagraph"/>
        <w:numPr>
          <w:ilvl w:val="0"/>
          <w:numId w:val="2"/>
        </w:numPr>
        <w:spacing w:after="90"/>
      </w:pPr>
      <w:r>
        <w:rPr>
          <w:b/>
          <w:bCs/>
          <w:color w:val="1F4E5C"/>
        </w:rPr>
        <w:t xml:space="preserve">Informed-consent form template [CLINICAL SIGN-OFF] — </w:t>
      </w:r>
      <w:r>
        <w:t xml:space="preserve">The procedure-specific consent document.</w:t>
      </w:r>
    </w:p>
    <w:p>
      <w:pPr>
        <w:pStyle w:val="ListParagraph"/>
        <w:numPr>
          <w:ilvl w:val="0"/>
          <w:numId w:val="2"/>
        </w:numPr>
        <w:spacing w:after="90"/>
      </w:pPr>
      <w:r>
        <w:rPr>
          <w:b/>
          <w:bCs/>
          <w:color w:val="1F4E5C"/>
        </w:rPr>
        <w:t xml:space="preserve">Consultation &amp; treatment-record templates — </w:t>
      </w:r>
      <w:r>
        <w:t xml:space="preserve">The full record set.</w:t>
      </w:r>
    </w:p>
    <w:p>
      <w:pPr>
        <w:pStyle w:val="ListParagraph"/>
        <w:numPr>
          <w:ilvl w:val="0"/>
          <w:numId w:val="2"/>
        </w:numPr>
        <w:spacing w:after="90"/>
      </w:pPr>
      <w:r>
        <w:rPr>
          <w:b/>
          <w:bCs/>
          <w:color w:val="1F4E5C"/>
        </w:rPr>
        <w:t xml:space="preserve">Treatment-plan template — </w:t>
      </w:r>
      <w:r>
        <w:t xml:space="preserve">Structured plan with body-map.</w:t>
      </w:r>
    </w:p>
    <w:p>
      <w:pPr>
        <w:pStyle w:val="Heading2"/>
      </w:pPr>
      <w:r>
        <w:t xml:space="preserve">9. Required worksheets</w:t>
      </w:r>
    </w:p>
    <w:p>
      <w:pPr>
        <w:pStyle w:val="ListParagraph"/>
        <w:numPr>
          <w:ilvl w:val="0"/>
          <w:numId w:val="2"/>
        </w:numPr>
        <w:spacing w:after="90"/>
      </w:pPr>
      <w:r>
        <w:rPr>
          <w:b/>
          <w:bCs/>
          <w:color w:val="1F4E5C"/>
        </w:rPr>
        <w:t xml:space="preserve">Consent role-play scripts — </w:t>
      </w:r>
      <w:r>
        <w:t xml:space="preserve">Paired practice scripts with observer checklist.</w:t>
      </w:r>
    </w:p>
    <w:p>
      <w:pPr>
        <w:pStyle w:val="ListParagraph"/>
        <w:numPr>
          <w:ilvl w:val="0"/>
          <w:numId w:val="2"/>
        </w:numPr>
        <w:spacing w:after="90"/>
      </w:pPr>
      <w:r>
        <w:rPr>
          <w:b/>
          <w:bCs/>
          <w:color w:val="1F4E5C"/>
        </w:rPr>
        <w:t xml:space="preserve">Documentation practice worksheet — </w:t>
      </w:r>
      <w:r>
        <w:t xml:space="preserve">Students write notes from a video case.</w:t>
      </w:r>
    </w:p>
    <w:p>
      <w:pPr>
        <w:pStyle w:val="Heading2"/>
      </w:pPr>
      <w:r>
        <w:t xml:space="preserve">10. Required assessment assets</w:t>
      </w:r>
    </w:p>
    <w:p>
      <w:pPr>
        <w:pStyle w:val="ListParagraph"/>
        <w:numPr>
          <w:ilvl w:val="0"/>
          <w:numId w:val="2"/>
        </w:numPr>
        <w:spacing w:after="90"/>
      </w:pPr>
      <w:r>
        <w:rPr>
          <w:b/>
          <w:bCs/>
          <w:color w:val="1F4E5C"/>
        </w:rPr>
        <w:t xml:space="preserve">Consent-quality interaction — </w:t>
      </w:r>
      <w:r>
        <w:t xml:space="preserve">Identify what makes sample consent valid or invalid.</w:t>
      </w:r>
    </w:p>
    <w:p>
      <w:pPr>
        <w:pStyle w:val="ListParagraph"/>
        <w:numPr>
          <w:ilvl w:val="0"/>
          <w:numId w:val="2"/>
        </w:numPr>
        <w:spacing w:after="90"/>
      </w:pPr>
      <w:r>
        <w:rPr>
          <w:b/>
          <w:bCs/>
          <w:color w:val="1F4E5C"/>
        </w:rPr>
        <w:t xml:space="preserve">Documentation OSCE rubric — </w:t>
      </w:r>
      <w:r>
        <w:t xml:space="preserve">Competency checklist for records and consent in practical assessment.</w:t>
      </w:r>
    </w:p>
    <w:p>
      <w:r>
        <w:br w:type="page"/>
      </w:r>
    </w:p>
    <w:p>
      <w:pPr>
        <w:pStyle w:val="Heading1"/>
      </w:pPr>
      <w:r>
        <w:t xml:space="preserve">M8 — Dry Cupping Procedures</w:t>
      </w:r>
    </w:p>
    <w:p>
      <w:pPr>
        <w:spacing w:after="140"/>
      </w:pPr>
      <w:r>
        <w:rPr>
          <w:i/>
          <w:iCs/>
          <w:color w:val="666666"/>
        </w:rPr>
        <w:t xml:space="preserve">The first hands-on technique module and the gateway to practical skill. Demonstration video quality here defines the perceived value of the whole practical curriculum.</w:t>
      </w:r>
    </w:p>
    <w:p>
      <w:pPr>
        <w:pStyle w:val="Heading2"/>
      </w:pPr>
      <w:r>
        <w:t xml:space="preserve">1. Required professional photography</w:t>
      </w:r>
    </w:p>
    <w:p>
      <w:pPr>
        <w:pStyle w:val="ListParagraph"/>
        <w:numPr>
          <w:ilvl w:val="0"/>
          <w:numId w:val="2"/>
        </w:numPr>
        <w:spacing w:after="90"/>
      </w:pPr>
      <w:r>
        <w:rPr>
          <w:b/>
          <w:bCs/>
          <w:color w:val="1F4E5C"/>
        </w:rPr>
        <w:t xml:space="preserve">Technique step stills [CLINICAL SIGN-OFF] — </w:t>
      </w:r>
      <w:r>
        <w:t xml:space="preserve">High-clarity photographs of each dry-cupping step — pump-cup application, suction level, fixed/flash/glide variants, removal — across skin tones.</w:t>
      </w:r>
    </w:p>
    <w:p>
      <w:pPr>
        <w:pStyle w:val="ListParagraph"/>
        <w:numPr>
          <w:ilvl w:val="0"/>
          <w:numId w:val="2"/>
        </w:numPr>
        <w:spacing w:after="90"/>
      </w:pPr>
      <w:r>
        <w:rPr>
          <w:b/>
          <w:bCs/>
          <w:color w:val="1F4E5C"/>
        </w:rPr>
        <w:t xml:space="preserve">Equipment &amp; oil set-up — </w:t>
      </w:r>
      <w:r>
        <w:t xml:space="preserve">Photographs of the dry-cupping kit and glide-cupping oil preparation.</w:t>
      </w:r>
    </w:p>
    <w:p>
      <w:pPr>
        <w:pStyle w:val="ListParagraph"/>
        <w:numPr>
          <w:ilvl w:val="0"/>
          <w:numId w:val="2"/>
        </w:numPr>
        <w:spacing w:after="90"/>
      </w:pPr>
      <w:r>
        <w:rPr>
          <w:b/>
          <w:bCs/>
          <w:color w:val="1F4E5C"/>
        </w:rPr>
        <w:t xml:space="preserve">Expected-marking gallery — </w:t>
      </w:r>
      <w:r>
        <w:t xml:space="preserve">A photographic gallery of normal post-treatment marks vs signs of excessive suction (blistering), for safe practice.</w:t>
      </w:r>
    </w:p>
    <w:p>
      <w:pPr>
        <w:pStyle w:val="Heading2"/>
      </w:pPr>
      <w:r>
        <w:t xml:space="preserve">2. Required anatomical diagrams</w:t>
      </w:r>
    </w:p>
    <w:p>
      <w:pPr>
        <w:pStyle w:val="ListParagraph"/>
        <w:numPr>
          <w:ilvl w:val="0"/>
          <w:numId w:val="2"/>
        </w:numPr>
        <w:spacing w:after="90"/>
      </w:pPr>
      <w:r>
        <w:rPr>
          <w:b/>
          <w:bCs/>
          <w:color w:val="1F4E5C"/>
        </w:rPr>
        <w:t xml:space="preserve">Treatment-region overlays — </w:t>
      </w:r>
      <w:r>
        <w:t xml:space="preserve">Reuse M3 layered anatomy beneath dry-cupping placement zones (back, shoulders, large muscle groups).</w:t>
      </w:r>
    </w:p>
    <w:p>
      <w:pPr>
        <w:pStyle w:val="Heading2"/>
      </w:pPr>
      <w:r>
        <w:t xml:space="preserve">3. Required infographics</w:t>
      </w:r>
    </w:p>
    <w:p>
      <w:pPr>
        <w:pStyle w:val="ListParagraph"/>
        <w:numPr>
          <w:ilvl w:val="0"/>
          <w:numId w:val="2"/>
        </w:numPr>
        <w:spacing w:after="90"/>
      </w:pPr>
      <w:r>
        <w:rPr>
          <w:b/>
          <w:bCs/>
          <w:color w:val="1F4E5C"/>
        </w:rPr>
        <w:t xml:space="preserve">Dry-cupping variants panel — </w:t>
      </w:r>
      <w:r>
        <w:t xml:space="preserve">Fixed vs flash vs moving/glide vs oil cupping, with purpose, technique, and typical use of each.</w:t>
      </w:r>
    </w:p>
    <w:p>
      <w:pPr>
        <w:pStyle w:val="ListParagraph"/>
        <w:numPr>
          <w:ilvl w:val="0"/>
          <w:numId w:val="2"/>
        </w:numPr>
        <w:spacing w:after="90"/>
      </w:pPr>
      <w:r>
        <w:rPr>
          <w:b/>
          <w:bCs/>
          <w:color w:val="1F4E5C"/>
        </w:rPr>
        <w:t xml:space="preserve">Suction-level guide — </w:t>
      </w:r>
      <w:r>
        <w:t xml:space="preserve">A visual scale of light/medium/strong suction with indications and cautions.</w:t>
      </w:r>
    </w:p>
    <w:p>
      <w:pPr>
        <w:pStyle w:val="ListParagraph"/>
        <w:numPr>
          <w:ilvl w:val="0"/>
          <w:numId w:val="2"/>
        </w:numPr>
        <w:spacing w:after="90"/>
      </w:pPr>
      <w:r>
        <w:rPr>
          <w:b/>
          <w:bCs/>
          <w:color w:val="1F4E5C"/>
        </w:rPr>
        <w:t xml:space="preserve">Common-error panel — </w:t>
      </w:r>
      <w:r>
        <w:t xml:space="preserve">Do/avoid visual: over-suction, over-duration, wrong placement, burns (if fire methods discussed).</w:t>
      </w:r>
    </w:p>
    <w:p>
      <w:pPr>
        <w:pStyle w:val="Heading2"/>
      </w:pPr>
      <w:r>
        <w:t xml:space="preserve">4. Required charts &amp; graphs</w:t>
      </w:r>
    </w:p>
    <w:p>
      <w:pPr>
        <w:pStyle w:val="ListParagraph"/>
        <w:numPr>
          <w:ilvl w:val="0"/>
          <w:numId w:val="2"/>
        </w:numPr>
        <w:spacing w:after="90"/>
      </w:pPr>
      <w:r>
        <w:rPr>
          <w:b/>
          <w:bCs/>
          <w:color w:val="1F4E5C"/>
        </w:rPr>
        <w:t xml:space="preserve">Duration &amp; dosing chart — </w:t>
      </w:r>
      <w:r>
        <w:t xml:space="preserve">Recommended cup-retention times and session structure for dry cupping.</w:t>
      </w:r>
    </w:p>
    <w:p>
      <w:pPr>
        <w:pStyle w:val="Heading2"/>
      </w:pPr>
      <w:r>
        <w:t xml:space="preserve">5. Required statistics &amp; research visualisations</w:t>
      </w:r>
    </w:p>
    <w:p>
      <w:pPr>
        <w:pStyle w:val="ListParagraph"/>
        <w:numPr>
          <w:ilvl w:val="0"/>
          <w:numId w:val="2"/>
        </w:numPr>
        <w:spacing w:after="90"/>
      </w:pPr>
      <w:r>
        <w:rPr>
          <w:b/>
          <w:bCs/>
          <w:color w:val="1F4E5C"/>
        </w:rPr>
        <w:t xml:space="preserve">Evidence-for-dry-cupping panel — </w:t>
      </w:r>
      <w:r>
        <w:t xml:space="preserve">Honest, evidence-graded summary of dry cupping for muscular complaints.</w:t>
      </w:r>
    </w:p>
    <w:p>
      <w:pPr>
        <w:pStyle w:val="Heading2"/>
      </w:pPr>
      <w:r>
        <w:t xml:space="preserve">6. Required educational animations</w:t>
      </w:r>
    </w:p>
    <w:p>
      <w:pPr>
        <w:pStyle w:val="ListParagraph"/>
        <w:numPr>
          <w:ilvl w:val="0"/>
          <w:numId w:val="2"/>
        </w:numPr>
        <w:spacing w:after="90"/>
      </w:pPr>
      <w:r>
        <w:rPr>
          <w:b/>
          <w:bCs/>
          <w:color w:val="1F4E5C"/>
        </w:rPr>
        <w:t xml:space="preserve">Suction mechanics &amp; glide path (60s) — </w:t>
      </w:r>
      <w:r>
        <w:t xml:space="preserve">Animation of pump-cup suction and the glide-cupping stroke path over a muscle group.</w:t>
      </w:r>
    </w:p>
    <w:p>
      <w:pPr>
        <w:pStyle w:val="Heading2"/>
      </w:pPr>
      <w:r>
        <w:t xml:space="preserve">7. Required practical demonstration videos</w:t>
      </w:r>
    </w:p>
    <w:p>
      <w:pPr>
        <w:pStyle w:val="ListParagraph"/>
        <w:numPr>
          <w:ilvl w:val="0"/>
          <w:numId w:val="2"/>
        </w:numPr>
        <w:spacing w:after="90"/>
      </w:pPr>
      <w:r>
        <w:rPr>
          <w:b/>
          <w:bCs/>
          <w:color w:val="1F4E5C"/>
        </w:rPr>
        <w:t xml:space="preserve">Dry-cupping master demonstration (12–15 min) [CLINICAL SIGN-OFF] — </w:t>
      </w:r>
      <w:r>
        <w:t xml:space="preserve">Multi-angle, narrated demonstration of all variants from set-up to aftercare, modelling flawless technique and hygiene. Chaptered by variant.</w:t>
      </w:r>
    </w:p>
    <w:p>
      <w:pPr>
        <w:pStyle w:val="ListParagraph"/>
        <w:numPr>
          <w:ilvl w:val="0"/>
          <w:numId w:val="2"/>
        </w:numPr>
        <w:spacing w:after="90"/>
      </w:pPr>
      <w:r>
        <w:rPr>
          <w:b/>
          <w:bCs/>
          <w:color w:val="1F4E5C"/>
        </w:rPr>
        <w:t xml:space="preserve">Glide/oil cupping focus (5–6 min) — </w:t>
      </w:r>
      <w:r>
        <w:t xml:space="preserve">Dedicated demonstration of moving cupping technique and pressure control.</w:t>
      </w:r>
    </w:p>
    <w:p>
      <w:pPr>
        <w:pStyle w:val="Heading2"/>
      </w:pPr>
      <w:r>
        <w:t xml:space="preserve">8. Required downloadable resources</w:t>
      </w:r>
    </w:p>
    <w:p>
      <w:pPr>
        <w:pStyle w:val="ListParagraph"/>
        <w:numPr>
          <w:ilvl w:val="0"/>
          <w:numId w:val="2"/>
        </w:numPr>
        <w:spacing w:after="90"/>
      </w:pPr>
      <w:r>
        <w:rPr>
          <w:b/>
          <w:bCs/>
          <w:color w:val="1F4E5C"/>
        </w:rPr>
        <w:t xml:space="preserve">Dry-cupping protocol PDF — </w:t>
      </w:r>
      <w:r>
        <w:t xml:space="preserve">Step-by-step SOP matching the master video.</w:t>
      </w:r>
    </w:p>
    <w:p>
      <w:pPr>
        <w:pStyle w:val="ListParagraph"/>
        <w:numPr>
          <w:ilvl w:val="0"/>
          <w:numId w:val="2"/>
        </w:numPr>
        <w:spacing w:after="90"/>
      </w:pPr>
      <w:r>
        <w:rPr>
          <w:b/>
          <w:bCs/>
          <w:color w:val="1F4E5C"/>
        </w:rPr>
        <w:t xml:space="preserve">Suction &amp; duration quick card — </w:t>
      </w:r>
      <w:r>
        <w:t xml:space="preserve">Bench reference.</w:t>
      </w:r>
    </w:p>
    <w:p>
      <w:pPr>
        <w:pStyle w:val="Heading2"/>
      </w:pPr>
      <w:r>
        <w:t xml:space="preserve">9. Required worksheets</w:t>
      </w:r>
    </w:p>
    <w:p>
      <w:pPr>
        <w:pStyle w:val="ListParagraph"/>
        <w:numPr>
          <w:ilvl w:val="0"/>
          <w:numId w:val="2"/>
        </w:numPr>
        <w:spacing w:after="90"/>
      </w:pPr>
      <w:r>
        <w:rPr>
          <w:b/>
          <w:bCs/>
          <w:color w:val="1F4E5C"/>
        </w:rPr>
        <w:t xml:space="preserve">Technique self-assessment worksheet — </w:t>
      </w:r>
      <w:r>
        <w:t xml:space="preserve">Students record and critique their own practice against the checklist.</w:t>
      </w:r>
    </w:p>
    <w:p>
      <w:pPr>
        <w:pStyle w:val="ListParagraph"/>
        <w:numPr>
          <w:ilvl w:val="0"/>
          <w:numId w:val="2"/>
        </w:numPr>
        <w:spacing w:after="90"/>
      </w:pPr>
      <w:r>
        <w:rPr>
          <w:b/>
          <w:bCs/>
          <w:color w:val="1F4E5C"/>
        </w:rPr>
        <w:t xml:space="preserve">Placement-planning worksheet — </w:t>
      </w:r>
      <w:r>
        <w:t xml:space="preserve">Map cup placement for given presentations on a body outline.</w:t>
      </w:r>
    </w:p>
    <w:p>
      <w:pPr>
        <w:pStyle w:val="Heading2"/>
      </w:pPr>
      <w:r>
        <w:t xml:space="preserve">10. Required assessment assets</w:t>
      </w:r>
    </w:p>
    <w:p>
      <w:pPr>
        <w:pStyle w:val="ListParagraph"/>
        <w:numPr>
          <w:ilvl w:val="0"/>
          <w:numId w:val="2"/>
        </w:numPr>
        <w:spacing w:after="90"/>
      </w:pPr>
      <w:r>
        <w:rPr>
          <w:b/>
          <w:bCs/>
          <w:color w:val="1F4E5C"/>
        </w:rPr>
        <w:t xml:space="preserve">Step-sequencing &amp; variant-match quiz — </w:t>
      </w:r>
      <w:r>
        <w:t xml:space="preserve">Order steps; match variant to indication.</w:t>
      </w:r>
    </w:p>
    <w:p>
      <w:pPr>
        <w:pStyle w:val="ListParagraph"/>
        <w:numPr>
          <w:ilvl w:val="0"/>
          <w:numId w:val="2"/>
        </w:numPr>
        <w:spacing w:after="90"/>
      </w:pPr>
      <w:r>
        <w:rPr>
          <w:b/>
          <w:bCs/>
          <w:color w:val="1F4E5C"/>
        </w:rPr>
        <w:t xml:space="preserve">Dry-cupping practical OSCE checklist [CLINICAL SIGN-OFF] — </w:t>
      </w:r>
      <w:r>
        <w:t xml:space="preserve">Observable competency checklist for supervised in-person assessment; logbook-linked (30 sessions).</w:t>
      </w:r>
    </w:p>
    <w:p>
      <w:r>
        <w:br w:type="page"/>
      </w:r>
    </w:p>
    <w:p>
      <w:pPr>
        <w:pStyle w:val="Heading1"/>
      </w:pPr>
      <w:r>
        <w:t xml:space="preserve">M9 — Wet Cupping (Hijama) Procedures</w:t>
      </w:r>
    </w:p>
    <w:p>
      <w:pPr>
        <w:spacing w:after="140"/>
      </w:pPr>
      <w:r>
        <w:rPr>
          <w:i/>
          <w:iCs/>
          <w:color w:val="666666"/>
        </w:rPr>
        <w:t xml:space="preserve">The heart of the programme and its highest-stakes media. Every depiction of incision, blood, sharps, and waste is [CLINICAL SIGN-OFF] and must be explicit that online study does not certify skin-breaking — competence is signed off only in supervised, in-person assessment.</w:t>
      </w:r>
    </w:p>
    <w:p>
      <w:pPr>
        <w:pStyle w:val="Heading2"/>
      </w:pPr>
      <w:r>
        <w:t xml:space="preserve">1. Required professional photography</w:t>
      </w:r>
    </w:p>
    <w:p>
      <w:pPr>
        <w:pStyle w:val="ListParagraph"/>
        <w:numPr>
          <w:ilvl w:val="0"/>
          <w:numId w:val="2"/>
        </w:numPr>
        <w:spacing w:after="90"/>
      </w:pPr>
      <w:r>
        <w:rPr>
          <w:b/>
          <w:bCs/>
          <w:color w:val="1F4E5C"/>
        </w:rPr>
        <w:t xml:space="preserve">Procedure-stage stills [CLINICAL SIGN-OFF] — </w:t>
      </w:r>
      <w:r>
        <w:t xml:space="preserve">A controlled, clinically reviewed photographic sequence of the wet-cupping stages — initial suction, marking, incision approach, re-suction, blood collection, cleaning, dressing — shot on a model/training pad as appropriate, modelling perfect asepsis. Blood depicted soberly, never gratuitously.</w:t>
      </w:r>
    </w:p>
    <w:p>
      <w:pPr>
        <w:pStyle w:val="ListParagraph"/>
        <w:numPr>
          <w:ilvl w:val="0"/>
          <w:numId w:val="2"/>
        </w:numPr>
        <w:spacing w:after="90"/>
      </w:pPr>
      <w:r>
        <w:rPr>
          <w:b/>
          <w:bCs/>
          <w:color w:val="1F4E5C"/>
        </w:rPr>
        <w:t xml:space="preserve">Sterile-field &amp; disposal stills [CLINICAL SIGN-OFF] — </w:t>
      </w:r>
      <w:r>
        <w:t xml:space="preserve">Photographs of the sterile single-use blade pack, the laid field, and correct point-of-use sharps and blood-waste disposal.</w:t>
      </w:r>
    </w:p>
    <w:p>
      <w:pPr>
        <w:pStyle w:val="ListParagraph"/>
        <w:numPr>
          <w:ilvl w:val="0"/>
          <w:numId w:val="2"/>
        </w:numPr>
        <w:spacing w:after="90"/>
      </w:pPr>
      <w:r>
        <w:rPr>
          <w:b/>
          <w:bCs/>
          <w:color w:val="1F4E5C"/>
        </w:rPr>
        <w:t xml:space="preserve">Dressing &amp; immediate-aftercare stills — </w:t>
      </w:r>
      <w:r>
        <w:t xml:space="preserve">Photographs of cleaning and dressing the treated area.</w:t>
      </w:r>
    </w:p>
    <w:p>
      <w:pPr>
        <w:pStyle w:val="Heading2"/>
      </w:pPr>
      <w:r>
        <w:t xml:space="preserve">2. Required anatomical diagrams</w:t>
      </w:r>
    </w:p>
    <w:p>
      <w:pPr>
        <w:pStyle w:val="ListParagraph"/>
        <w:numPr>
          <w:ilvl w:val="0"/>
          <w:numId w:val="2"/>
        </w:numPr>
        <w:spacing w:after="90"/>
      </w:pPr>
      <w:r>
        <w:rPr>
          <w:b/>
          <w:bCs/>
          <w:color w:val="1F4E5C"/>
        </w:rPr>
        <w:t xml:space="preserve">Incision-depth illustration [CLINICAL SIGN-OFF] — </w:t>
      </w:r>
      <w:r>
        <w:t xml:space="preserve">A precise illustration of correct superficial incision depth relative to skin layers, defining 'superficial' unambiguously.</w:t>
      </w:r>
    </w:p>
    <w:p>
      <w:pPr>
        <w:pStyle w:val="ListParagraph"/>
        <w:numPr>
          <w:ilvl w:val="0"/>
          <w:numId w:val="2"/>
        </w:numPr>
        <w:spacing w:after="90"/>
      </w:pPr>
      <w:r>
        <w:rPr>
          <w:b/>
          <w:bCs/>
          <w:color w:val="1F4E5C"/>
        </w:rPr>
        <w:t xml:space="preserve">Vascular-caution overlay [CLINICAL SIGN-OFF] — </w:t>
      </w:r>
      <w:r>
        <w:t xml:space="preserve">Reuse danger-zones atlas focused on bleeding-risk regions for wet cupping.</w:t>
      </w:r>
    </w:p>
    <w:p>
      <w:pPr>
        <w:pStyle w:val="Heading2"/>
      </w:pPr>
      <w:r>
        <w:t xml:space="preserve">3. Required infographics</w:t>
      </w:r>
    </w:p>
    <w:p>
      <w:pPr>
        <w:pStyle w:val="ListParagraph"/>
        <w:numPr>
          <w:ilvl w:val="0"/>
          <w:numId w:val="2"/>
        </w:numPr>
        <w:spacing w:after="90"/>
      </w:pPr>
      <w:r>
        <w:rPr>
          <w:b/>
          <w:bCs/>
          <w:color w:val="1F4E5C"/>
        </w:rPr>
        <w:t xml:space="preserve">Wet-cupping procedure map [CLINICAL SIGN-OFF] — </w:t>
      </w:r>
      <w:r>
        <w:t xml:space="preserve">A single visual of the full stage sequence as a numbered process, with hygiene and safety gates between stages.</w:t>
      </w:r>
    </w:p>
    <w:p>
      <w:pPr>
        <w:pStyle w:val="ListParagraph"/>
        <w:numPr>
          <w:ilvl w:val="0"/>
          <w:numId w:val="2"/>
        </w:numPr>
        <w:spacing w:after="90"/>
      </w:pPr>
      <w:r>
        <w:rPr>
          <w:b/>
          <w:bCs/>
          <w:color w:val="1F4E5C"/>
        </w:rPr>
        <w:t xml:space="preserve">Single-use-everything panel — </w:t>
      </w:r>
      <w:r>
        <w:t xml:space="preserve">A bold visual reinforcing that all skin-contact and sharps items are single-use; nothing is reused.</w:t>
      </w:r>
    </w:p>
    <w:p>
      <w:pPr>
        <w:pStyle w:val="ListParagraph"/>
        <w:numPr>
          <w:ilvl w:val="0"/>
          <w:numId w:val="2"/>
        </w:numPr>
        <w:spacing w:after="90"/>
      </w:pPr>
      <w:r>
        <w:rPr>
          <w:b/>
          <w:bCs/>
          <w:color w:val="1F4E5C"/>
        </w:rPr>
        <w:t xml:space="preserve">Volume-awareness guide — </w:t>
      </w:r>
      <w:r>
        <w:t xml:space="preserve">An honest visual on small, measured blood volumes and why 'more is not better'.</w:t>
      </w:r>
    </w:p>
    <w:p>
      <w:pPr>
        <w:pStyle w:val="Heading2"/>
      </w:pPr>
      <w:r>
        <w:t xml:space="preserve">4. Required charts &amp; graphs</w:t>
      </w:r>
    </w:p>
    <w:p>
      <w:pPr>
        <w:pStyle w:val="ListParagraph"/>
        <w:numPr>
          <w:ilvl w:val="0"/>
          <w:numId w:val="2"/>
        </w:numPr>
        <w:spacing w:after="90"/>
      </w:pPr>
      <w:r>
        <w:rPr>
          <w:b/>
          <w:bCs/>
          <w:color w:val="1F4E5C"/>
        </w:rPr>
        <w:t xml:space="preserve">Stage-timing chart — </w:t>
      </w:r>
      <w:r>
        <w:t xml:space="preserve">Time allocation across the wet-cupping stages.</w:t>
      </w:r>
    </w:p>
    <w:p>
      <w:pPr>
        <w:pStyle w:val="ListParagraph"/>
        <w:numPr>
          <w:ilvl w:val="0"/>
          <w:numId w:val="2"/>
        </w:numPr>
        <w:spacing w:after="90"/>
      </w:pPr>
      <w:r>
        <w:rPr>
          <w:b/>
          <w:bCs/>
          <w:color w:val="1F4E5C"/>
        </w:rPr>
        <w:t xml:space="preserve">When-to-stop thresholds [CLINICAL SIGN-OFF] — </w:t>
      </w:r>
      <w:r>
        <w:t xml:space="preserve">A decision visual of signs that mandate stopping (excessive bleeding, faintness, etc.).</w:t>
      </w:r>
    </w:p>
    <w:p>
      <w:pPr>
        <w:pStyle w:val="Heading2"/>
      </w:pPr>
      <w:r>
        <w:t xml:space="preserve">5. Required statistics &amp; research visualisations</w:t>
      </w:r>
    </w:p>
    <w:p>
      <w:pPr>
        <w:pStyle w:val="ListParagraph"/>
        <w:numPr>
          <w:ilvl w:val="0"/>
          <w:numId w:val="2"/>
        </w:numPr>
        <w:spacing w:after="90"/>
      </w:pPr>
      <w:r>
        <w:rPr>
          <w:b/>
          <w:bCs/>
          <w:color w:val="1F4E5C"/>
        </w:rPr>
        <w:t xml:space="preserve">Adverse-event &amp; safety panel [CLINICAL SIGN-OFF] — </w:t>
      </w:r>
      <w:r>
        <w:t xml:space="preserve">Honest, sourced visualisation of wet-cupping adverse events and how protocol prevents them.</w:t>
      </w:r>
    </w:p>
    <w:p>
      <w:pPr>
        <w:pStyle w:val="Heading2"/>
      </w:pPr>
      <w:r>
        <w:t xml:space="preserve">6. Required educational animations</w:t>
      </w:r>
    </w:p>
    <w:p>
      <w:pPr>
        <w:pStyle w:val="ListParagraph"/>
        <w:numPr>
          <w:ilvl w:val="0"/>
          <w:numId w:val="2"/>
        </w:numPr>
        <w:spacing w:after="90"/>
      </w:pPr>
      <w:r>
        <w:rPr>
          <w:b/>
          <w:bCs/>
          <w:color w:val="1F4E5C"/>
        </w:rPr>
        <w:t xml:space="preserve">Wet-cupping full sequence (2–3 min) [CLINICAL SIGN-OFF] — </w:t>
      </w:r>
      <w:r>
        <w:t xml:space="preserve">A clean animated walkthrough of the entire procedure — safer and clearer than photography for some stages — with every safety gate called out and an explicit 'in-person sign-off required' card.</w:t>
      </w:r>
    </w:p>
    <w:p>
      <w:pPr>
        <w:pStyle w:val="Heading2"/>
      </w:pPr>
      <w:r>
        <w:t xml:space="preserve">7. Required practical demonstration videos</w:t>
      </w:r>
    </w:p>
    <w:p>
      <w:pPr>
        <w:pStyle w:val="ListParagraph"/>
        <w:numPr>
          <w:ilvl w:val="0"/>
          <w:numId w:val="2"/>
        </w:numPr>
        <w:spacing w:after="90"/>
      </w:pPr>
      <w:r>
        <w:rPr>
          <w:b/>
          <w:bCs/>
          <w:color w:val="1F4E5C"/>
        </w:rPr>
        <w:t xml:space="preserve">Wet-cupping master demonstration (15–20 min) [CLINICAL SIGN-OFF] — </w:t>
      </w:r>
      <w:r>
        <w:t xml:space="preserve">The flagship clinical video: multi-angle, fully narrated, performed to an impeccable standard with complete asepsis and disposal. Opens and closes with the explicit statement that watching it does not certify the student to break skin. Chaptered by stage.</w:t>
      </w:r>
    </w:p>
    <w:p>
      <w:pPr>
        <w:pStyle w:val="ListParagraph"/>
        <w:numPr>
          <w:ilvl w:val="0"/>
          <w:numId w:val="2"/>
        </w:numPr>
        <w:spacing w:after="90"/>
      </w:pPr>
      <w:r>
        <w:rPr>
          <w:b/>
          <w:bCs/>
          <w:color w:val="1F4E5C"/>
        </w:rPr>
        <w:t xml:space="preserve">Managing a faint / adverse event (5–6 min) [CLINICAL SIGN-OFF] — </w:t>
      </w:r>
      <w:r>
        <w:t xml:space="preserve">Demonstration of responding to common adverse events during/after wet cupping.</w:t>
      </w:r>
    </w:p>
    <w:p>
      <w:pPr>
        <w:pStyle w:val="Heading2"/>
      </w:pPr>
      <w:r>
        <w:t xml:space="preserve">8. Required downloadable resources</w:t>
      </w:r>
    </w:p>
    <w:p>
      <w:pPr>
        <w:pStyle w:val="ListParagraph"/>
        <w:numPr>
          <w:ilvl w:val="0"/>
          <w:numId w:val="2"/>
        </w:numPr>
        <w:spacing w:after="90"/>
      </w:pPr>
      <w:r>
        <w:rPr>
          <w:b/>
          <w:bCs/>
          <w:color w:val="1F4E5C"/>
        </w:rPr>
        <w:t xml:space="preserve">Wet-cupping SOP [CLINICAL SIGN-OFF] — </w:t>
      </w:r>
      <w:r>
        <w:t xml:space="preserve">The definitive written protocol matching the master video.</w:t>
      </w:r>
    </w:p>
    <w:p>
      <w:pPr>
        <w:pStyle w:val="ListParagraph"/>
        <w:numPr>
          <w:ilvl w:val="0"/>
          <w:numId w:val="2"/>
        </w:numPr>
        <w:spacing w:after="90"/>
      </w:pPr>
      <w:r>
        <w:rPr>
          <w:b/>
          <w:bCs/>
          <w:color w:val="1F4E5C"/>
        </w:rPr>
        <w:t xml:space="preserve">Pre/intra/post safety checklist [CLINICAL SIGN-OFF] — </w:t>
      </w:r>
      <w:r>
        <w:t xml:space="preserve">Run-before / run-during / run-after tick-lists.</w:t>
      </w:r>
    </w:p>
    <w:p>
      <w:pPr>
        <w:pStyle w:val="ListParagraph"/>
        <w:numPr>
          <w:ilvl w:val="0"/>
          <w:numId w:val="2"/>
        </w:numPr>
        <w:spacing w:after="90"/>
      </w:pPr>
      <w:r>
        <w:rPr>
          <w:b/>
          <w:bCs/>
          <w:color w:val="1F4E5C"/>
        </w:rPr>
        <w:t xml:space="preserve">Adverse-event action cards — </w:t>
      </w:r>
      <w:r>
        <w:t xml:space="preserve">Wall-ready emergency references.</w:t>
      </w:r>
    </w:p>
    <w:p>
      <w:pPr>
        <w:pStyle w:val="Heading2"/>
      </w:pPr>
      <w:r>
        <w:t xml:space="preserve">9. Required worksheets</w:t>
      </w:r>
    </w:p>
    <w:p>
      <w:pPr>
        <w:pStyle w:val="ListParagraph"/>
        <w:numPr>
          <w:ilvl w:val="0"/>
          <w:numId w:val="2"/>
        </w:numPr>
        <w:spacing w:after="90"/>
      </w:pPr>
      <w:r>
        <w:rPr>
          <w:b/>
          <w:bCs/>
          <w:color w:val="1F4E5C"/>
        </w:rPr>
        <w:t xml:space="preserve">Stage-rehearsal worksheet — </w:t>
      </w:r>
      <w:r>
        <w:t xml:space="preserve">Mental-rehearsal and self-check template before supervised practice.</w:t>
      </w:r>
    </w:p>
    <w:p>
      <w:pPr>
        <w:pStyle w:val="ListParagraph"/>
        <w:numPr>
          <w:ilvl w:val="0"/>
          <w:numId w:val="2"/>
        </w:numPr>
        <w:spacing w:after="90"/>
      </w:pPr>
      <w:r>
        <w:rPr>
          <w:b/>
          <w:bCs/>
          <w:color w:val="1F4E5C"/>
        </w:rPr>
        <w:t xml:space="preserve">Reflective practice log — </w:t>
      </w:r>
      <w:r>
        <w:t xml:space="preserve">Structured reflection after each supervised session.</w:t>
      </w:r>
    </w:p>
    <w:p>
      <w:pPr>
        <w:pStyle w:val="Heading2"/>
      </w:pPr>
      <w:r>
        <w:t xml:space="preserve">10. Required assessment assets</w:t>
      </w:r>
    </w:p>
    <w:p>
      <w:pPr>
        <w:pStyle w:val="ListParagraph"/>
        <w:numPr>
          <w:ilvl w:val="0"/>
          <w:numId w:val="2"/>
        </w:numPr>
        <w:spacing w:after="90"/>
      </w:pPr>
      <w:r>
        <w:rPr>
          <w:b/>
          <w:bCs/>
          <w:color w:val="1F4E5C"/>
        </w:rPr>
        <w:t xml:space="preserve">Procedure-sequencing &amp; safety-gate quiz [CLINICAL SIGN-OFF] — </w:t>
      </w:r>
      <w:r>
        <w:t xml:space="preserve">Theory check; safety items require ≥90%.</w:t>
      </w:r>
    </w:p>
    <w:p>
      <w:pPr>
        <w:pStyle w:val="ListParagraph"/>
        <w:numPr>
          <w:ilvl w:val="0"/>
          <w:numId w:val="2"/>
        </w:numPr>
        <w:spacing w:after="90"/>
      </w:pPr>
      <w:r>
        <w:rPr>
          <w:b/>
          <w:bCs/>
          <w:color w:val="1F4E5C"/>
        </w:rPr>
        <w:t xml:space="preserve">Wet-cupping practical OSCE [CLINICAL SIGN-OFF] — </w:t>
      </w:r>
      <w:r>
        <w:t xml:space="preserve">The in-person competency assessment with critical-fail items; logbook-linked (20 supervised wet sessions). The only route to certification for skin-breaking.</w:t>
      </w:r>
    </w:p>
    <w:p>
      <w:r>
        <w:br w:type="page"/>
      </w:r>
    </w:p>
    <w:p>
      <w:pPr>
        <w:pStyle w:val="Heading1"/>
      </w:pPr>
      <w:r>
        <w:t xml:space="preserve">M10 — Sunnah Hijama Points &amp; Point Selection</w:t>
      </w:r>
    </w:p>
    <w:p>
      <w:pPr>
        <w:spacing w:after="140"/>
      </w:pPr>
      <w:r>
        <w:rPr>
          <w:i/>
          <w:iCs/>
          <w:color w:val="666666"/>
        </w:rPr>
        <w:t xml:space="preserve">Where tradition and anatomy meet on the body. The signature interactive asset of the programme lives here: an explorable point atlas built over the M3 anatomy.</w:t>
      </w:r>
    </w:p>
    <w:p>
      <w:pPr>
        <w:pStyle w:val="Heading2"/>
      </w:pPr>
      <w:r>
        <w:t xml:space="preserve">1. Required professional photography</w:t>
      </w:r>
    </w:p>
    <w:p>
      <w:pPr>
        <w:pStyle w:val="ListParagraph"/>
        <w:numPr>
          <w:ilvl w:val="0"/>
          <w:numId w:val="2"/>
        </w:numPr>
        <w:spacing w:after="90"/>
      </w:pPr>
      <w:r>
        <w:rPr>
          <w:b/>
          <w:bCs/>
          <w:color w:val="1F4E5C"/>
        </w:rPr>
        <w:t xml:space="preserve">Point-location photography [CLINICAL SIGN-OFF] — </w:t>
      </w:r>
      <w:r>
        <w:t xml:space="preserve">Art-directed photographs of the body with traditional points marked, across body types and skin tones, as the photographic base for the interactive atlas.</w:t>
      </w:r>
    </w:p>
    <w:p>
      <w:pPr>
        <w:pStyle w:val="Heading2"/>
      </w:pPr>
      <w:r>
        <w:t xml:space="preserve">2. Required anatomical diagrams</w:t>
      </w:r>
    </w:p>
    <w:p>
      <w:pPr>
        <w:pStyle w:val="ListParagraph"/>
        <w:numPr>
          <w:ilvl w:val="0"/>
          <w:numId w:val="2"/>
        </w:numPr>
        <w:spacing w:after="90"/>
      </w:pPr>
      <w:r>
        <w:rPr>
          <w:b/>
          <w:bCs/>
          <w:color w:val="1F4E5C"/>
        </w:rPr>
        <w:t xml:space="preserve">Interactive Sunnah-point atlas [CLINICAL SIGN-OFF] — </w:t>
      </w:r>
      <w:r>
        <w:t xml:space="preserve">The flagship interactive: a body model with the reported Sunnah points plotted, each tappable to reveal its name, location description, the anatomy beneath (toggling the M3 layers), and safety cautions. The single most 'premium' asset in the course.</w:t>
      </w:r>
    </w:p>
    <w:p>
      <w:pPr>
        <w:pStyle w:val="ListParagraph"/>
        <w:numPr>
          <w:ilvl w:val="0"/>
          <w:numId w:val="2"/>
        </w:numPr>
        <w:spacing w:after="90"/>
      </w:pPr>
      <w:r>
        <w:rPr>
          <w:b/>
          <w:bCs/>
          <w:color w:val="1F4E5C"/>
        </w:rPr>
        <w:t xml:space="preserve">Point-with-danger-zone overlays [CLINICAL SIGN-OFF] — </w:t>
      </w:r>
      <w:r>
        <w:t xml:space="preserve">Each point shown against underlying vessels/nerves to teach safe location, not rote memorisation.</w:t>
      </w:r>
    </w:p>
    <w:p>
      <w:pPr>
        <w:pStyle w:val="Heading2"/>
      </w:pPr>
      <w:r>
        <w:t xml:space="preserve">3. Required infographics</w:t>
      </w:r>
    </w:p>
    <w:p>
      <w:pPr>
        <w:pStyle w:val="ListParagraph"/>
        <w:numPr>
          <w:ilvl w:val="0"/>
          <w:numId w:val="2"/>
        </w:numPr>
        <w:spacing w:after="90"/>
      </w:pPr>
      <w:r>
        <w:rPr>
          <w:b/>
          <w:bCs/>
          <w:color w:val="1F4E5C"/>
        </w:rPr>
        <w:t xml:space="preserve">Point-naming reference — </w:t>
      </w:r>
      <w:r>
        <w:t xml:space="preserve">A clean labelled chart of the traditionally named points and their regions.</w:t>
      </w:r>
    </w:p>
    <w:p>
      <w:pPr>
        <w:pStyle w:val="ListParagraph"/>
        <w:numPr>
          <w:ilvl w:val="0"/>
          <w:numId w:val="2"/>
        </w:numPr>
        <w:spacing w:after="90"/>
      </w:pPr>
      <w:r>
        <w:rPr>
          <w:b/>
          <w:bCs/>
          <w:color w:val="1F4E5C"/>
        </w:rPr>
        <w:t xml:space="preserve">Selection-rationale panel — </w:t>
      </w:r>
      <w:r>
        <w:t xml:space="preserve">A visual of how points are chosen — Sunnah basis + surface anatomy + safety — explicitly not meridian theory.</w:t>
      </w:r>
    </w:p>
    <w:p>
      <w:pPr>
        <w:pStyle w:val="Heading2"/>
      </w:pPr>
      <w:r>
        <w:t xml:space="preserve">4. Required charts &amp; graphs</w:t>
      </w:r>
    </w:p>
    <w:p>
      <w:pPr>
        <w:pStyle w:val="ListParagraph"/>
        <w:numPr>
          <w:ilvl w:val="0"/>
          <w:numId w:val="2"/>
        </w:numPr>
        <w:spacing w:after="90"/>
      </w:pPr>
      <w:r>
        <w:rPr>
          <w:b/>
          <w:bCs/>
          <w:color w:val="1F4E5C"/>
        </w:rPr>
        <w:t xml:space="preserve">Point-to-region index — </w:t>
      </w:r>
      <w:r>
        <w:t xml:space="preserve">A reference table mapping points to body regions and common usage, evidence-honest.</w:t>
      </w:r>
    </w:p>
    <w:p>
      <w:pPr>
        <w:pStyle w:val="Heading2"/>
      </w:pPr>
      <w:r>
        <w:t xml:space="preserve">5. Required statistics &amp; research visualisations</w:t>
      </w:r>
    </w:p>
    <w:p>
      <w:pPr>
        <w:spacing w:after="140"/>
      </w:pPr>
      <w:r>
        <w:rPr>
          <w:i/>
          <w:iCs/>
          <w:color w:val="666666"/>
        </w:rPr>
        <w:t xml:space="preserve">Not applicable for this module; covered by shared programme assets (see Part D, reusability).</w:t>
      </w:r>
    </w:p>
    <w:p>
      <w:pPr>
        <w:pStyle w:val="Heading2"/>
      </w:pPr>
      <w:r>
        <w:t xml:space="preserve">6. Required educational animations</w:t>
      </w:r>
    </w:p>
    <w:p>
      <w:pPr>
        <w:pStyle w:val="ListParagraph"/>
        <w:numPr>
          <w:ilvl w:val="0"/>
          <w:numId w:val="2"/>
        </w:numPr>
        <w:spacing w:after="90"/>
      </w:pPr>
      <w:r>
        <w:rPr>
          <w:b/>
          <w:bCs/>
          <w:color w:val="1F4E5C"/>
        </w:rPr>
        <w:t xml:space="preserve">Locating a point safely (75s) [CLINICAL SIGN-OFF] — </w:t>
      </w:r>
      <w:r>
        <w:t xml:space="preserve">Animation of landmark-based location of a point with the anatomy beneath revealed.</w:t>
      </w:r>
    </w:p>
    <w:p>
      <w:pPr>
        <w:pStyle w:val="Heading2"/>
      </w:pPr>
      <w:r>
        <w:t xml:space="preserve">7. Required practical demonstration videos</w:t>
      </w:r>
    </w:p>
    <w:p>
      <w:pPr>
        <w:pStyle w:val="ListParagraph"/>
        <w:numPr>
          <w:ilvl w:val="0"/>
          <w:numId w:val="2"/>
        </w:numPr>
        <w:spacing w:after="90"/>
      </w:pPr>
      <w:r>
        <w:rPr>
          <w:b/>
          <w:bCs/>
          <w:color w:val="1F4E5C"/>
        </w:rPr>
        <w:t xml:space="preserve">Point-location demonstration on a model (10–12 min) [CLINICAL SIGN-OFF] — </w:t>
      </w:r>
      <w:r>
        <w:t xml:space="preserve">Clinician locating and marking the key points on a live model, reasoning aloud about anatomy and safety.</w:t>
      </w:r>
    </w:p>
    <w:p>
      <w:pPr>
        <w:pStyle w:val="Heading2"/>
      </w:pPr>
      <w:r>
        <w:t xml:space="preserve">8. Required downloadable resources</w:t>
      </w:r>
    </w:p>
    <w:p>
      <w:pPr>
        <w:pStyle w:val="ListParagraph"/>
        <w:numPr>
          <w:ilvl w:val="0"/>
          <w:numId w:val="2"/>
        </w:numPr>
        <w:spacing w:after="90"/>
      </w:pPr>
      <w:r>
        <w:rPr>
          <w:b/>
          <w:bCs/>
          <w:color w:val="1F4E5C"/>
        </w:rPr>
        <w:t xml:space="preserve">Printable point atlas PDF — </w:t>
      </w:r>
      <w:r>
        <w:t xml:space="preserve">Static version of the interactive atlas.</w:t>
      </w:r>
    </w:p>
    <w:p>
      <w:pPr>
        <w:pStyle w:val="ListParagraph"/>
        <w:numPr>
          <w:ilvl w:val="0"/>
          <w:numId w:val="2"/>
        </w:numPr>
        <w:spacing w:after="90"/>
      </w:pPr>
      <w:r>
        <w:rPr>
          <w:b/>
          <w:bCs/>
          <w:color w:val="1F4E5C"/>
        </w:rPr>
        <w:t xml:space="preserve">Point quick-reference cards — </w:t>
      </w:r>
      <w:r>
        <w:t xml:space="preserve">Per-point cards with location and cautions.</w:t>
      </w:r>
    </w:p>
    <w:p>
      <w:pPr>
        <w:pStyle w:val="Heading2"/>
      </w:pPr>
      <w:r>
        <w:t xml:space="preserve">9. Required worksheets</w:t>
      </w:r>
    </w:p>
    <w:p>
      <w:pPr>
        <w:pStyle w:val="ListParagraph"/>
        <w:numPr>
          <w:ilvl w:val="0"/>
          <w:numId w:val="2"/>
        </w:numPr>
        <w:spacing w:after="90"/>
      </w:pPr>
      <w:r>
        <w:rPr>
          <w:b/>
          <w:bCs/>
          <w:color w:val="1F4E5C"/>
        </w:rPr>
        <w:t xml:space="preserve">Mark-the-points worksheet — </w:t>
      </w:r>
      <w:r>
        <w:t xml:space="preserve">Locate and justify points on a body outline.</w:t>
      </w:r>
    </w:p>
    <w:p>
      <w:pPr>
        <w:pStyle w:val="ListParagraph"/>
        <w:numPr>
          <w:ilvl w:val="0"/>
          <w:numId w:val="2"/>
        </w:numPr>
        <w:spacing w:after="90"/>
      </w:pPr>
      <w:r>
        <w:rPr>
          <w:b/>
          <w:bCs/>
          <w:color w:val="1F4E5C"/>
        </w:rPr>
        <w:t xml:space="preserve">Selection-rationale worksheet — </w:t>
      </w:r>
      <w:r>
        <w:t xml:space="preserve">Given a presentation, choose and justify points with safety notes.</w:t>
      </w:r>
    </w:p>
    <w:p>
      <w:pPr>
        <w:pStyle w:val="Heading2"/>
      </w:pPr>
      <w:r>
        <w:t xml:space="preserve">10. Required assessment assets</w:t>
      </w:r>
    </w:p>
    <w:p>
      <w:pPr>
        <w:pStyle w:val="ListParagraph"/>
        <w:numPr>
          <w:ilvl w:val="0"/>
          <w:numId w:val="2"/>
        </w:numPr>
        <w:spacing w:after="90"/>
      </w:pPr>
      <w:r>
        <w:rPr>
          <w:b/>
          <w:bCs/>
          <w:color w:val="1F4E5C"/>
        </w:rPr>
        <w:t xml:space="preserve">Interactive point-location test [CLINICAL SIGN-OFF] — </w:t>
      </w:r>
      <w:r>
        <w:t xml:space="preserve">Place points on the body model; scored on accuracy and avoidance of danger zones.</w:t>
      </w:r>
    </w:p>
    <w:p>
      <w:pPr>
        <w:pStyle w:val="ListParagraph"/>
        <w:numPr>
          <w:ilvl w:val="0"/>
          <w:numId w:val="2"/>
        </w:numPr>
        <w:spacing w:after="90"/>
      </w:pPr>
      <w:r>
        <w:rPr>
          <w:b/>
          <w:bCs/>
          <w:color w:val="1F4E5C"/>
        </w:rPr>
        <w:t xml:space="preserve">Selection-reasoning short answer — </w:t>
      </w:r>
      <w:r>
        <w:t xml:space="preserve">Justify point selection for cases; rubric-graded.</w:t>
      </w:r>
    </w:p>
    <w:p>
      <w:r>
        <w:br w:type="page"/>
      </w:r>
    </w:p>
    <w:p>
      <w:pPr>
        <w:pStyle w:val="Heading1"/>
      </w:pPr>
      <w:r>
        <w:t xml:space="preserve">M11 — Aftercare &amp; Follow-up</w:t>
      </w:r>
    </w:p>
    <w:p>
      <w:pPr>
        <w:spacing w:after="140"/>
      </w:pPr>
      <w:r>
        <w:rPr>
          <w:i/>
          <w:iCs/>
          <w:color w:val="666666"/>
        </w:rPr>
        <w:t xml:space="preserve">The module that protects clients after they leave and turns one-off clients into a trusted practice. Asset emphasis: client-facing take-aways and recognition of normal vs concerning.</w:t>
      </w:r>
    </w:p>
    <w:p>
      <w:pPr>
        <w:pStyle w:val="Heading2"/>
      </w:pPr>
      <w:r>
        <w:t xml:space="preserve">1. Required professional photography</w:t>
      </w:r>
    </w:p>
    <w:p>
      <w:pPr>
        <w:pStyle w:val="ListParagraph"/>
        <w:numPr>
          <w:ilvl w:val="0"/>
          <w:numId w:val="2"/>
        </w:numPr>
        <w:spacing w:after="90"/>
      </w:pPr>
      <w:r>
        <w:rPr>
          <w:b/>
          <w:bCs/>
          <w:color w:val="1F4E5C"/>
        </w:rPr>
        <w:t xml:space="preserve">Healing-progression gallery [CLINICAL SIGN-OFF] — </w:t>
      </w:r>
      <w:r>
        <w:t xml:space="preserve">A photographic series of normal mark and incision-site healing over days, across skin tones, vs signs of infection/complication.</w:t>
      </w:r>
    </w:p>
    <w:p>
      <w:pPr>
        <w:pStyle w:val="ListParagraph"/>
        <w:numPr>
          <w:ilvl w:val="0"/>
          <w:numId w:val="2"/>
        </w:numPr>
        <w:spacing w:after="90"/>
      </w:pPr>
      <w:r>
        <w:rPr>
          <w:b/>
          <w:bCs/>
          <w:color w:val="1F4E5C"/>
        </w:rPr>
        <w:t xml:space="preserve">Aftercare-advice scene — </w:t>
      </w:r>
      <w:r>
        <w:t xml:space="preserve">Photograph of the practitioner giving aftercare guidance and a leaflet.</w:t>
      </w:r>
    </w:p>
    <w:p>
      <w:pPr>
        <w:pStyle w:val="Heading2"/>
      </w:pPr>
      <w:r>
        <w:t xml:space="preserve">2. Required anatomical diagrams</w:t>
      </w:r>
    </w:p>
    <w:p>
      <w:pPr>
        <w:pStyle w:val="ListParagraph"/>
        <w:numPr>
          <w:ilvl w:val="0"/>
          <w:numId w:val="2"/>
        </w:numPr>
        <w:spacing w:after="90"/>
      </w:pPr>
      <w:r>
        <w:rPr>
          <w:b/>
          <w:bCs/>
          <w:color w:val="1F4E5C"/>
        </w:rPr>
        <w:t xml:space="preserve">Healing-stages illustration — </w:t>
      </w:r>
      <w:r>
        <w:t xml:space="preserve">Reuse/adapt the M3 wound-healing strip for the aftercare context.</w:t>
      </w:r>
    </w:p>
    <w:p>
      <w:pPr>
        <w:pStyle w:val="Heading2"/>
      </w:pPr>
      <w:r>
        <w:t xml:space="preserve">3. Required infographics</w:t>
      </w:r>
    </w:p>
    <w:p>
      <w:pPr>
        <w:pStyle w:val="ListParagraph"/>
        <w:numPr>
          <w:ilvl w:val="0"/>
          <w:numId w:val="2"/>
        </w:numPr>
        <w:spacing w:after="90"/>
      </w:pPr>
      <w:r>
        <w:rPr>
          <w:b/>
          <w:bCs/>
          <w:color w:val="1F4E5C"/>
        </w:rPr>
        <w:t xml:space="preserve">Do/don't aftercare panel — </w:t>
      </w:r>
      <w:r>
        <w:t xml:space="preserve">A client-facing visual of post-treatment guidance.</w:t>
      </w:r>
    </w:p>
    <w:p>
      <w:pPr>
        <w:pStyle w:val="ListParagraph"/>
        <w:numPr>
          <w:ilvl w:val="0"/>
          <w:numId w:val="2"/>
        </w:numPr>
        <w:spacing w:after="90"/>
      </w:pPr>
      <w:r>
        <w:rPr>
          <w:b/>
          <w:bCs/>
          <w:color w:val="1F4E5C"/>
        </w:rPr>
        <w:t xml:space="preserve">Normal vs concerning panel [CLINICAL SIGN-OFF] — </w:t>
      </w:r>
      <w:r>
        <w:t xml:space="preserve">A bold visual distinguishing expected reactions from red flags needing medical attention.</w:t>
      </w:r>
    </w:p>
    <w:p>
      <w:pPr>
        <w:pStyle w:val="Heading2"/>
      </w:pPr>
      <w:r>
        <w:t xml:space="preserve">4. Required charts &amp; graphs</w:t>
      </w:r>
    </w:p>
    <w:p>
      <w:pPr>
        <w:pStyle w:val="ListParagraph"/>
        <w:numPr>
          <w:ilvl w:val="0"/>
          <w:numId w:val="2"/>
        </w:numPr>
        <w:spacing w:after="90"/>
      </w:pPr>
      <w:r>
        <w:rPr>
          <w:b/>
          <w:bCs/>
          <w:color w:val="1F4E5C"/>
        </w:rPr>
        <w:t xml:space="preserve">Healing-timeline chart — </w:t>
      </w:r>
      <w:r>
        <w:t xml:space="preserve">Expected timeline of mark fading and site healing.</w:t>
      </w:r>
    </w:p>
    <w:p>
      <w:pPr>
        <w:pStyle w:val="ListParagraph"/>
        <w:numPr>
          <w:ilvl w:val="0"/>
          <w:numId w:val="2"/>
        </w:numPr>
        <w:spacing w:after="90"/>
      </w:pPr>
      <w:r>
        <w:rPr>
          <w:b/>
          <w:bCs/>
          <w:color w:val="1F4E5C"/>
        </w:rPr>
        <w:t xml:space="preserve">Follow-up scheduling guide — </w:t>
      </w:r>
      <w:r>
        <w:t xml:space="preserve">When to review and re-treat.</w:t>
      </w:r>
    </w:p>
    <w:p>
      <w:pPr>
        <w:pStyle w:val="Heading2"/>
      </w:pPr>
      <w:r>
        <w:t xml:space="preserve">5. Required statistics &amp; research visualisations</w:t>
      </w:r>
    </w:p>
    <w:p>
      <w:pPr>
        <w:spacing w:after="140"/>
      </w:pPr>
      <w:r>
        <w:rPr>
          <w:i/>
          <w:iCs/>
          <w:color w:val="666666"/>
        </w:rPr>
        <w:t xml:space="preserve">Not applicable for this module; covered by shared programme assets (see Part D, reusability).</w:t>
      </w:r>
    </w:p>
    <w:p>
      <w:pPr>
        <w:pStyle w:val="Heading2"/>
      </w:pPr>
      <w:r>
        <w:t xml:space="preserve">6. Required educational animations</w:t>
      </w:r>
    </w:p>
    <w:p>
      <w:pPr>
        <w:pStyle w:val="ListParagraph"/>
        <w:numPr>
          <w:ilvl w:val="0"/>
          <w:numId w:val="2"/>
        </w:numPr>
        <w:spacing w:after="90"/>
      </w:pPr>
      <w:r>
        <w:rPr>
          <w:b/>
          <w:bCs/>
          <w:color w:val="1F4E5C"/>
        </w:rPr>
        <w:t xml:space="preserve">What's happening as you heal (60s) — </w:t>
      </w:r>
      <w:r>
        <w:t xml:space="preserve">Animation of the skin healing after superficial incision, reassuring and informative.</w:t>
      </w:r>
    </w:p>
    <w:p>
      <w:pPr>
        <w:pStyle w:val="Heading2"/>
      </w:pPr>
      <w:r>
        <w:t xml:space="preserve">7. Required practical demonstration videos</w:t>
      </w:r>
    </w:p>
    <w:p>
      <w:pPr>
        <w:pStyle w:val="ListParagraph"/>
        <w:numPr>
          <w:ilvl w:val="0"/>
          <w:numId w:val="2"/>
        </w:numPr>
        <w:spacing w:after="90"/>
      </w:pPr>
      <w:r>
        <w:rPr>
          <w:b/>
          <w:bCs/>
          <w:color w:val="1F4E5C"/>
        </w:rPr>
        <w:t xml:space="preserve">Aftercare briefing demonstration (5–6 min) — </w:t>
      </w:r>
      <w:r>
        <w:t xml:space="preserve">Model of delivering clear aftercare advice and what-to-watch-for.</w:t>
      </w:r>
    </w:p>
    <w:p>
      <w:pPr>
        <w:pStyle w:val="Heading2"/>
      </w:pPr>
      <w:r>
        <w:t xml:space="preserve">8. Required downloadable resources</w:t>
      </w:r>
    </w:p>
    <w:p>
      <w:pPr>
        <w:pStyle w:val="ListParagraph"/>
        <w:numPr>
          <w:ilvl w:val="0"/>
          <w:numId w:val="2"/>
        </w:numPr>
        <w:spacing w:after="90"/>
      </w:pPr>
      <w:r>
        <w:rPr>
          <w:b/>
          <w:bCs/>
          <w:color w:val="1F4E5C"/>
        </w:rPr>
        <w:t xml:space="preserve">Client aftercare leaflet [CLINICAL SIGN-OFF] — </w:t>
      </w:r>
      <w:r>
        <w:t xml:space="preserve">A branded, client-facing take-home leaflet — a visible premium touch clients keep.</w:t>
      </w:r>
    </w:p>
    <w:p>
      <w:pPr>
        <w:pStyle w:val="ListParagraph"/>
        <w:numPr>
          <w:ilvl w:val="0"/>
          <w:numId w:val="2"/>
        </w:numPr>
        <w:spacing w:after="90"/>
      </w:pPr>
      <w:r>
        <w:rPr>
          <w:b/>
          <w:bCs/>
          <w:color w:val="1F4E5C"/>
        </w:rPr>
        <w:t xml:space="preserve">Follow-up &amp; review template — </w:t>
      </w:r>
      <w:r>
        <w:t xml:space="preserve">Practitioner follow-up record.</w:t>
      </w:r>
    </w:p>
    <w:p>
      <w:pPr>
        <w:pStyle w:val="Heading2"/>
      </w:pPr>
      <w:r>
        <w:t xml:space="preserve">9. Required worksheets</w:t>
      </w:r>
    </w:p>
    <w:p>
      <w:pPr>
        <w:pStyle w:val="ListParagraph"/>
        <w:numPr>
          <w:ilvl w:val="0"/>
          <w:numId w:val="2"/>
        </w:numPr>
        <w:spacing w:after="90"/>
      </w:pPr>
      <w:r>
        <w:rPr>
          <w:b/>
          <w:bCs/>
          <w:color w:val="1F4E5C"/>
        </w:rPr>
        <w:t xml:space="preserve">Aftercare-advice worksheet — </w:t>
      </w:r>
      <w:r>
        <w:t xml:space="preserve">Draft tailored aftercare for varied cases.</w:t>
      </w:r>
    </w:p>
    <w:p>
      <w:pPr>
        <w:pStyle w:val="ListParagraph"/>
        <w:numPr>
          <w:ilvl w:val="0"/>
          <w:numId w:val="2"/>
        </w:numPr>
        <w:spacing w:after="90"/>
      </w:pPr>
      <w:r>
        <w:rPr>
          <w:b/>
          <w:bCs/>
          <w:color w:val="1F4E5C"/>
        </w:rPr>
        <w:t xml:space="preserve">Complication-recognition drill — </w:t>
      </w:r>
      <w:r>
        <w:t xml:space="preserve">Sort presentations into reassure / review / refer.</w:t>
      </w:r>
    </w:p>
    <w:p>
      <w:pPr>
        <w:pStyle w:val="Heading2"/>
      </w:pPr>
      <w:r>
        <w:t xml:space="preserve">10. Required assessment assets</w:t>
      </w:r>
    </w:p>
    <w:p>
      <w:pPr>
        <w:pStyle w:val="ListParagraph"/>
        <w:numPr>
          <w:ilvl w:val="0"/>
          <w:numId w:val="2"/>
        </w:numPr>
        <w:spacing w:after="90"/>
      </w:pPr>
      <w:r>
        <w:rPr>
          <w:b/>
          <w:bCs/>
          <w:color w:val="1F4E5C"/>
        </w:rPr>
        <w:t xml:space="preserve">Normal-vs-concerning quiz [CLINICAL SIGN-OFF] — </w:t>
      </w:r>
      <w:r>
        <w:t xml:space="preserve">Image-based recognition of healing vs complication.</w:t>
      </w:r>
    </w:p>
    <w:p>
      <w:pPr>
        <w:pStyle w:val="ListParagraph"/>
        <w:numPr>
          <w:ilvl w:val="0"/>
          <w:numId w:val="2"/>
        </w:numPr>
        <w:spacing w:after="90"/>
      </w:pPr>
      <w:r>
        <w:rPr>
          <w:b/>
          <w:bCs/>
          <w:color w:val="1F4E5C"/>
        </w:rPr>
        <w:t xml:space="preserve">Aftercare communication OSCE item — </w:t>
      </w:r>
      <w:r>
        <w:t xml:space="preserve">Assessed delivery of aftercare advice.</w:t>
      </w:r>
    </w:p>
    <w:p>
      <w:r>
        <w:br w:type="page"/>
      </w:r>
    </w:p>
    <w:p>
      <w:pPr>
        <w:pStyle w:val="Heading1"/>
      </w:pPr>
      <w:r>
        <w:t xml:space="preserve">M12 — Clinical Applications, Pain Management &amp; Sports Recovery</w:t>
      </w:r>
    </w:p>
    <w:p>
      <w:pPr>
        <w:spacing w:after="140"/>
      </w:pPr>
      <w:r>
        <w:rPr>
          <w:i/>
          <w:iCs/>
          <w:color w:val="666666"/>
        </w:rPr>
        <w:t xml:space="preserve">Where the practice meets demand. Assets must present applications with rigorous evidence-honesty — this is the module most exposed to overclaiming, so the data visuals carry real weight.</w:t>
      </w:r>
    </w:p>
    <w:p>
      <w:pPr>
        <w:pStyle w:val="Heading2"/>
      </w:pPr>
      <w:r>
        <w:t xml:space="preserve">1. Required professional photography</w:t>
      </w:r>
    </w:p>
    <w:p>
      <w:pPr>
        <w:pStyle w:val="ListParagraph"/>
        <w:numPr>
          <w:ilvl w:val="0"/>
          <w:numId w:val="2"/>
        </w:numPr>
        <w:spacing w:after="90"/>
      </w:pPr>
      <w:r>
        <w:rPr>
          <w:b/>
          <w:bCs/>
          <w:color w:val="1F4E5C"/>
        </w:rPr>
        <w:t xml:space="preserve">Application-context photography — </w:t>
      </w:r>
      <w:r>
        <w:t xml:space="preserve">Photographs of cupping applied for musculoskeletal/sports contexts on relevant body regions.</w:t>
      </w:r>
    </w:p>
    <w:p>
      <w:pPr>
        <w:pStyle w:val="ListParagraph"/>
        <w:numPr>
          <w:ilvl w:val="0"/>
          <w:numId w:val="2"/>
        </w:numPr>
        <w:spacing w:after="90"/>
      </w:pPr>
      <w:r>
        <w:rPr>
          <w:b/>
          <w:bCs/>
          <w:color w:val="1F4E5C"/>
        </w:rPr>
        <w:t xml:space="preserve">Sports-recovery setting — </w:t>
      </w:r>
      <w:r>
        <w:t xml:space="preserve">Tasteful images in an athletic-recovery context (no real athletes / no IP).</w:t>
      </w:r>
    </w:p>
    <w:p>
      <w:pPr>
        <w:pStyle w:val="Heading2"/>
      </w:pPr>
      <w:r>
        <w:t xml:space="preserve">2. Required anatomical diagrams</w:t>
      </w:r>
    </w:p>
    <w:p>
      <w:pPr>
        <w:pStyle w:val="ListParagraph"/>
        <w:numPr>
          <w:ilvl w:val="0"/>
          <w:numId w:val="2"/>
        </w:numPr>
        <w:spacing w:after="90"/>
      </w:pPr>
      <w:r>
        <w:rPr>
          <w:b/>
          <w:bCs/>
          <w:color w:val="1F4E5C"/>
        </w:rPr>
        <w:t xml:space="preserve">Muscle-group overlays — </w:t>
      </w:r>
      <w:r>
        <w:t xml:space="preserve">Reuse M3 anatomy highlighting commonly treated muscle groups for pain/sports.</w:t>
      </w:r>
    </w:p>
    <w:p>
      <w:pPr>
        <w:pStyle w:val="Heading2"/>
      </w:pPr>
      <w:r>
        <w:t xml:space="preserve">3. Required infographics</w:t>
      </w:r>
    </w:p>
    <w:p>
      <w:pPr>
        <w:pStyle w:val="ListParagraph"/>
        <w:numPr>
          <w:ilvl w:val="0"/>
          <w:numId w:val="2"/>
        </w:numPr>
        <w:spacing w:after="90"/>
      </w:pPr>
      <w:r>
        <w:rPr>
          <w:b/>
          <w:bCs/>
          <w:color w:val="1F4E5C"/>
        </w:rPr>
        <w:t xml:space="preserve">Application map — </w:t>
      </w:r>
      <w:r>
        <w:t xml:space="preserve">A visual matching common presentations to typical (evidence-graded) cupping approaches and honest expectations.</w:t>
      </w:r>
    </w:p>
    <w:p>
      <w:pPr>
        <w:pStyle w:val="ListParagraph"/>
        <w:numPr>
          <w:ilvl w:val="0"/>
          <w:numId w:val="2"/>
        </w:numPr>
        <w:spacing w:after="90"/>
      </w:pPr>
      <w:r>
        <w:rPr>
          <w:b/>
          <w:bCs/>
          <w:color w:val="1F4E5C"/>
        </w:rPr>
        <w:t xml:space="preserve">'Alongside, not instead of' panel — </w:t>
      </w:r>
      <w:r>
        <w:t xml:space="preserve">A visual reinforcing integration with medical care for pain conditions.</w:t>
      </w:r>
    </w:p>
    <w:p>
      <w:pPr>
        <w:pStyle w:val="Heading2"/>
      </w:pPr>
      <w:r>
        <w:t xml:space="preserve">4. Required charts &amp; graphs</w:t>
      </w:r>
    </w:p>
    <w:p>
      <w:pPr>
        <w:pStyle w:val="ListParagraph"/>
        <w:numPr>
          <w:ilvl w:val="0"/>
          <w:numId w:val="2"/>
        </w:numPr>
        <w:spacing w:after="90"/>
      </w:pPr>
      <w:r>
        <w:rPr>
          <w:b/>
          <w:bCs/>
          <w:color w:val="1F4E5C"/>
        </w:rPr>
        <w:t xml:space="preserve">Dosing &amp; frequency by presentation — </w:t>
      </w:r>
      <w:r>
        <w:t xml:space="preserve">A chart of session structure/frequency for common applications.</w:t>
      </w:r>
    </w:p>
    <w:p>
      <w:pPr>
        <w:pStyle w:val="Heading2"/>
      </w:pPr>
      <w:r>
        <w:t xml:space="preserve">5. Required statistics &amp; research visualisations</w:t>
      </w:r>
    </w:p>
    <w:p>
      <w:pPr>
        <w:pStyle w:val="ListParagraph"/>
        <w:numPr>
          <w:ilvl w:val="0"/>
          <w:numId w:val="2"/>
        </w:numPr>
        <w:spacing w:after="90"/>
      </w:pPr>
      <w:r>
        <w:rPr>
          <w:b/>
          <w:bCs/>
          <w:color w:val="1F4E5C"/>
        </w:rPr>
        <w:t xml:space="preserve">Evidence-by-condition forest-style panel [CLINICAL SIGN-OFF] — </w:t>
      </w:r>
      <w:r>
        <w:t xml:space="preserve">A careful research-summary visual showing strength of evidence per application (stronger for some musculoskeletal pain, weaker/absent elsewhere), with study quality flagged — the antidote to overclaiming.</w:t>
      </w:r>
    </w:p>
    <w:p>
      <w:pPr>
        <w:pStyle w:val="ListParagraph"/>
        <w:numPr>
          <w:ilvl w:val="0"/>
          <w:numId w:val="2"/>
        </w:numPr>
        <w:spacing w:after="90"/>
      </w:pPr>
      <w:r>
        <w:rPr>
          <w:b/>
          <w:bCs/>
          <w:color w:val="1F4E5C"/>
        </w:rPr>
        <w:t xml:space="preserve">Effect-vs-expectation panel — </w:t>
      </w:r>
      <w:r>
        <w:t xml:space="preserve">An honest visual separating specific effect from contextual effects (attention, touch, expectation).</w:t>
      </w:r>
    </w:p>
    <w:p>
      <w:pPr>
        <w:pStyle w:val="Heading2"/>
      </w:pPr>
      <w:r>
        <w:t xml:space="preserve">6. Required educational animations</w:t>
      </w:r>
    </w:p>
    <w:p>
      <w:pPr>
        <w:pStyle w:val="ListParagraph"/>
        <w:numPr>
          <w:ilvl w:val="0"/>
          <w:numId w:val="2"/>
        </w:numPr>
        <w:spacing w:after="90"/>
      </w:pPr>
      <w:r>
        <w:rPr>
          <w:b/>
          <w:bCs/>
          <w:color w:val="1F4E5C"/>
        </w:rPr>
        <w:t xml:space="preserve">Why cupping may ease muscular pain (75s) — </w:t>
      </w:r>
      <w:r>
        <w:t xml:space="preserve">Animation of the plausible local mechanisms, clearly labelled as theory.</w:t>
      </w:r>
    </w:p>
    <w:p>
      <w:pPr>
        <w:pStyle w:val="Heading2"/>
      </w:pPr>
      <w:r>
        <w:t xml:space="preserve">7. Required practical demonstration videos</w:t>
      </w:r>
    </w:p>
    <w:p>
      <w:pPr>
        <w:pStyle w:val="ListParagraph"/>
        <w:numPr>
          <w:ilvl w:val="0"/>
          <w:numId w:val="2"/>
        </w:numPr>
        <w:spacing w:after="90"/>
      </w:pPr>
      <w:r>
        <w:rPr>
          <w:b/>
          <w:bCs/>
          <w:color w:val="1F4E5C"/>
        </w:rPr>
        <w:t xml:space="preserve">Applied-treatment demonstrations (12–15 min) [CLINICAL SIGN-OFF] — </w:t>
      </w:r>
      <w:r>
        <w:t xml:space="preserve">Demonstrations across several common presentations, each prefaced with honest expectation-setting.</w:t>
      </w:r>
    </w:p>
    <w:p>
      <w:pPr>
        <w:pStyle w:val="ListParagraph"/>
        <w:numPr>
          <w:ilvl w:val="0"/>
          <w:numId w:val="2"/>
        </w:numPr>
        <w:spacing w:after="90"/>
      </w:pPr>
      <w:r>
        <w:rPr>
          <w:b/>
          <w:bCs/>
          <w:color w:val="1F4E5C"/>
        </w:rPr>
        <w:t xml:space="preserve">Evidence masterclass (8–10 min) — </w:t>
      </w:r>
      <w:r>
        <w:t xml:space="preserve">Clinical lead walking through what the research actually supports and how to talk to clients about it.</w:t>
      </w:r>
    </w:p>
    <w:p>
      <w:pPr>
        <w:pStyle w:val="Heading2"/>
      </w:pPr>
      <w:r>
        <w:t xml:space="preserve">8. Required downloadable resources</w:t>
      </w:r>
    </w:p>
    <w:p>
      <w:pPr>
        <w:pStyle w:val="ListParagraph"/>
        <w:numPr>
          <w:ilvl w:val="0"/>
          <w:numId w:val="2"/>
        </w:numPr>
        <w:spacing w:after="90"/>
      </w:pPr>
      <w:r>
        <w:rPr>
          <w:b/>
          <w:bCs/>
          <w:color w:val="1F4E5C"/>
        </w:rPr>
        <w:t xml:space="preserve">Application protocols pack [CLINICAL SIGN-OFF] — </w:t>
      </w:r>
      <w:r>
        <w:t xml:space="preserve">Evidence-graded approach notes per common presentation.</w:t>
      </w:r>
    </w:p>
    <w:p>
      <w:pPr>
        <w:pStyle w:val="ListParagraph"/>
        <w:numPr>
          <w:ilvl w:val="0"/>
          <w:numId w:val="2"/>
        </w:numPr>
        <w:spacing w:after="90"/>
      </w:pPr>
      <w:r>
        <w:rPr>
          <w:b/>
          <w:bCs/>
          <w:color w:val="1F4E5C"/>
        </w:rPr>
        <w:t xml:space="preserve">Client expectation-setting scripts — </w:t>
      </w:r>
      <w:r>
        <w:t xml:space="preserve">Honest, compliant wording for outcomes.</w:t>
      </w:r>
    </w:p>
    <w:p>
      <w:pPr>
        <w:pStyle w:val="Heading2"/>
      </w:pPr>
      <w:r>
        <w:t xml:space="preserve">9. Required worksheets</w:t>
      </w:r>
    </w:p>
    <w:p>
      <w:pPr>
        <w:pStyle w:val="ListParagraph"/>
        <w:numPr>
          <w:ilvl w:val="0"/>
          <w:numId w:val="2"/>
        </w:numPr>
        <w:spacing w:after="90"/>
      </w:pPr>
      <w:r>
        <w:rPr>
          <w:b/>
          <w:bCs/>
          <w:color w:val="1F4E5C"/>
        </w:rPr>
        <w:t xml:space="preserve">Case-based planning worksheets — </w:t>
      </w:r>
      <w:r>
        <w:t xml:space="preserve">Plan evidence-honest treatment for presented cases.</w:t>
      </w:r>
    </w:p>
    <w:p>
      <w:pPr>
        <w:pStyle w:val="ListParagraph"/>
        <w:numPr>
          <w:ilvl w:val="0"/>
          <w:numId w:val="2"/>
        </w:numPr>
        <w:spacing w:after="90"/>
      </w:pPr>
      <w:r>
        <w:rPr>
          <w:b/>
          <w:bCs/>
          <w:color w:val="1F4E5C"/>
        </w:rPr>
        <w:t xml:space="preserve">Claim-grading worksheet — </w:t>
      </w:r>
      <w:r>
        <w:t xml:space="preserve">Grade example marketing/clinical claims green/amber/red.</w:t>
      </w:r>
    </w:p>
    <w:p>
      <w:pPr>
        <w:pStyle w:val="Heading2"/>
      </w:pPr>
      <w:r>
        <w:t xml:space="preserve">10. Required assessment assets</w:t>
      </w:r>
    </w:p>
    <w:p>
      <w:pPr>
        <w:pStyle w:val="ListParagraph"/>
        <w:numPr>
          <w:ilvl w:val="0"/>
          <w:numId w:val="2"/>
        </w:numPr>
        <w:spacing w:after="90"/>
      </w:pPr>
      <w:r>
        <w:rPr>
          <w:b/>
          <w:bCs/>
          <w:color w:val="1F4E5C"/>
        </w:rPr>
        <w:t xml:space="preserve">Evidence-matching quiz — </w:t>
      </w:r>
      <w:r>
        <w:t xml:space="preserve">Match applications to evidence strength.</w:t>
      </w:r>
    </w:p>
    <w:p>
      <w:pPr>
        <w:pStyle w:val="ListParagraph"/>
        <w:numPr>
          <w:ilvl w:val="0"/>
          <w:numId w:val="2"/>
        </w:numPr>
        <w:spacing w:after="90"/>
      </w:pPr>
      <w:r>
        <w:rPr>
          <w:b/>
          <w:bCs/>
          <w:color w:val="1F4E5C"/>
        </w:rPr>
        <w:t xml:space="preserve">Case treatment-plan assignment — </w:t>
      </w:r>
      <w:r>
        <w:t xml:space="preserve">Produce an evidence-honest plan; rubric-graded.</w:t>
      </w:r>
    </w:p>
    <w:p>
      <w:r>
        <w:br w:type="page"/>
      </w:r>
    </w:p>
    <w:p>
      <w:pPr>
        <w:pStyle w:val="Heading1"/>
      </w:pPr>
      <w:r>
        <w:t xml:space="preserve">M13 — Women's Health Considerations</w:t>
      </w:r>
    </w:p>
    <w:p>
      <w:pPr>
        <w:spacing w:after="140"/>
      </w:pPr>
      <w:r>
        <w:rPr>
          <w:i/>
          <w:iCs/>
          <w:color w:val="666666"/>
        </w:rPr>
        <w:t xml:space="preserve">A module demanding particular sensitivity, dignity, and clinical care. Assets prioritise modesty, safety (especially pregnancy), and respectful client communication.</w:t>
      </w:r>
    </w:p>
    <w:p>
      <w:pPr>
        <w:pStyle w:val="Heading2"/>
      </w:pPr>
      <w:r>
        <w:t xml:space="preserve">1. Required professional photography</w:t>
      </w:r>
    </w:p>
    <w:p>
      <w:pPr>
        <w:pStyle w:val="ListParagraph"/>
        <w:numPr>
          <w:ilvl w:val="0"/>
          <w:numId w:val="2"/>
        </w:numPr>
        <w:spacing w:after="90"/>
      </w:pPr>
      <w:r>
        <w:rPr>
          <w:b/>
          <w:bCs/>
          <w:color w:val="1F4E5C"/>
        </w:rPr>
        <w:t xml:space="preserve">Dignity-first consultation scenes — </w:t>
      </w:r>
      <w:r>
        <w:t xml:space="preserve">Photographs emphasising modesty protection, female-practitioner option, and chaperoning, shot respectfully.</w:t>
      </w:r>
    </w:p>
    <w:p>
      <w:pPr>
        <w:pStyle w:val="Heading2"/>
      </w:pPr>
      <w:r>
        <w:t xml:space="preserve">2. Required anatomical diagrams</w:t>
      </w:r>
    </w:p>
    <w:p>
      <w:pPr>
        <w:pStyle w:val="ListParagraph"/>
        <w:numPr>
          <w:ilvl w:val="0"/>
          <w:numId w:val="2"/>
        </w:numPr>
        <w:spacing w:after="90"/>
      </w:pPr>
      <w:r>
        <w:rPr>
          <w:b/>
          <w:bCs/>
          <w:color w:val="1F4E5C"/>
        </w:rPr>
        <w:t xml:space="preserve">Pregnancy-caution illustration [CLINICAL SIGN-OFF] — </w:t>
      </w:r>
      <w:r>
        <w:t xml:space="preserve">An illustration flagging regions and circumstances requiring caution or avoidance in pregnancy.</w:t>
      </w:r>
    </w:p>
    <w:p>
      <w:pPr>
        <w:pStyle w:val="Heading2"/>
      </w:pPr>
      <w:r>
        <w:t xml:space="preserve">3. Required infographics</w:t>
      </w:r>
    </w:p>
    <w:p>
      <w:pPr>
        <w:pStyle w:val="ListParagraph"/>
        <w:numPr>
          <w:ilvl w:val="0"/>
          <w:numId w:val="2"/>
        </w:numPr>
        <w:spacing w:after="90"/>
      </w:pPr>
      <w:r>
        <w:rPr>
          <w:b/>
          <w:bCs/>
          <w:color w:val="1F4E5C"/>
        </w:rPr>
        <w:t xml:space="preserve">Pregnancy decision panel [CLINICAL SIGN-OFF] — </w:t>
      </w:r>
      <w:r>
        <w:t xml:space="preserve">A clear proceed-with-caution / avoid / refer visual for pregnancy and related stages, cross-referenced to M5.</w:t>
      </w:r>
    </w:p>
    <w:p>
      <w:pPr>
        <w:pStyle w:val="ListParagraph"/>
        <w:numPr>
          <w:ilvl w:val="0"/>
          <w:numId w:val="2"/>
        </w:numPr>
        <w:spacing w:after="90"/>
      </w:pPr>
      <w:r>
        <w:rPr>
          <w:b/>
          <w:bCs/>
          <w:color w:val="1F4E5C"/>
        </w:rPr>
        <w:t xml:space="preserve">Modesty &amp; comfort panel — </w:t>
      </w:r>
      <w:r>
        <w:t xml:space="preserve">Practical steps for dignity, draping, and consent in women's-health contexts.</w:t>
      </w:r>
    </w:p>
    <w:p>
      <w:pPr>
        <w:pStyle w:val="Heading2"/>
      </w:pPr>
      <w:r>
        <w:t xml:space="preserve">4. Required charts &amp; graphs</w:t>
      </w:r>
    </w:p>
    <w:p>
      <w:pPr>
        <w:pStyle w:val="ListParagraph"/>
        <w:numPr>
          <w:ilvl w:val="0"/>
          <w:numId w:val="2"/>
        </w:numPr>
        <w:spacing w:after="90"/>
      </w:pPr>
      <w:r>
        <w:rPr>
          <w:b/>
          <w:bCs/>
          <w:color w:val="1F4E5C"/>
        </w:rPr>
        <w:t xml:space="preserve">Cycle/stage-awareness chart — </w:t>
      </w:r>
      <w:r>
        <w:t xml:space="preserve">An honest reference on timing considerations, clearly bounded by evidence and safety.</w:t>
      </w:r>
    </w:p>
    <w:p>
      <w:pPr>
        <w:pStyle w:val="Heading2"/>
      </w:pPr>
      <w:r>
        <w:t xml:space="preserve">5. Required statistics &amp; research visualisations</w:t>
      </w:r>
    </w:p>
    <w:p>
      <w:pPr>
        <w:pStyle w:val="ListParagraph"/>
        <w:numPr>
          <w:ilvl w:val="0"/>
          <w:numId w:val="2"/>
        </w:numPr>
        <w:spacing w:after="90"/>
      </w:pPr>
      <w:r>
        <w:rPr>
          <w:b/>
          <w:bCs/>
          <w:color w:val="1F4E5C"/>
        </w:rPr>
        <w:t xml:space="preserve">Evidence-&amp;-caution panel [CLINICAL SIGN-OFF] — </w:t>
      </w:r>
      <w:r>
        <w:t xml:space="preserve">Honest summary of evidence and the strong default to caution where data is thin (e.g. pregnancy).</w:t>
      </w:r>
    </w:p>
    <w:p>
      <w:pPr>
        <w:pStyle w:val="Heading2"/>
      </w:pPr>
      <w:r>
        <w:t xml:space="preserve">6. Required educational animations</w:t>
      </w:r>
    </w:p>
    <w:p>
      <w:pPr>
        <w:spacing w:after="140"/>
      </w:pPr>
      <w:r>
        <w:rPr>
          <w:i/>
          <w:iCs/>
          <w:color w:val="666666"/>
        </w:rPr>
        <w:t xml:space="preserve">Not applicable for this module; covered by shared programme assets (see Part D, reusability).</w:t>
      </w:r>
    </w:p>
    <w:p>
      <w:pPr>
        <w:pStyle w:val="Heading2"/>
      </w:pPr>
      <w:r>
        <w:t xml:space="preserve">7. Required practical demonstration videos</w:t>
      </w:r>
    </w:p>
    <w:p>
      <w:pPr>
        <w:pStyle w:val="ListParagraph"/>
        <w:numPr>
          <w:ilvl w:val="0"/>
          <w:numId w:val="2"/>
        </w:numPr>
        <w:spacing w:after="90"/>
      </w:pPr>
      <w:r>
        <w:rPr>
          <w:b/>
          <w:bCs/>
          <w:color w:val="1F4E5C"/>
        </w:rPr>
        <w:t xml:space="preserve">Women's-health consultation demonstration (8–10 min) — </w:t>
      </w:r>
      <w:r>
        <w:t xml:space="preserve">A respectful, dignity-led consultation modelling communication and safety, including appropriate decline/refer.</w:t>
      </w:r>
    </w:p>
    <w:p>
      <w:pPr>
        <w:pStyle w:val="Heading2"/>
      </w:pPr>
      <w:r>
        <w:t xml:space="preserve">8. Required downloadable resources</w:t>
      </w:r>
    </w:p>
    <w:p>
      <w:pPr>
        <w:pStyle w:val="ListParagraph"/>
        <w:numPr>
          <w:ilvl w:val="0"/>
          <w:numId w:val="2"/>
        </w:numPr>
        <w:spacing w:after="90"/>
      </w:pPr>
      <w:r>
        <w:rPr>
          <w:b/>
          <w:bCs/>
          <w:color w:val="1F4E5C"/>
        </w:rPr>
        <w:t xml:space="preserve">Women's-health screening addendum — </w:t>
      </w:r>
      <w:r>
        <w:t xml:space="preserve">Screening additions for this population.</w:t>
      </w:r>
    </w:p>
    <w:p>
      <w:pPr>
        <w:pStyle w:val="ListParagraph"/>
        <w:numPr>
          <w:ilvl w:val="0"/>
          <w:numId w:val="2"/>
        </w:numPr>
        <w:spacing w:after="90"/>
      </w:pPr>
      <w:r>
        <w:rPr>
          <w:b/>
          <w:bCs/>
          <w:color w:val="1F4E5C"/>
        </w:rPr>
        <w:t xml:space="preserve">Dignity &amp; chaperone policy template — </w:t>
      </w:r>
      <w:r>
        <w:t xml:space="preserve">Clinic policy template.</w:t>
      </w:r>
    </w:p>
    <w:p>
      <w:pPr>
        <w:pStyle w:val="Heading2"/>
      </w:pPr>
      <w:r>
        <w:t xml:space="preserve">9. Required worksheets</w:t>
      </w:r>
    </w:p>
    <w:p>
      <w:pPr>
        <w:pStyle w:val="ListParagraph"/>
        <w:numPr>
          <w:ilvl w:val="0"/>
          <w:numId w:val="2"/>
        </w:numPr>
        <w:spacing w:after="90"/>
      </w:pPr>
      <w:r>
        <w:rPr>
          <w:b/>
          <w:bCs/>
          <w:color w:val="1F4E5C"/>
        </w:rPr>
        <w:t xml:space="preserve">Sensitive-scenario worksheets — </w:t>
      </w:r>
      <w:r>
        <w:t xml:space="preserve">Reason through dignity and safety in varied cases.</w:t>
      </w:r>
    </w:p>
    <w:p>
      <w:pPr>
        <w:pStyle w:val="Heading2"/>
      </w:pPr>
      <w:r>
        <w:t xml:space="preserve">10. Required assessment assets</w:t>
      </w:r>
    </w:p>
    <w:p>
      <w:pPr>
        <w:pStyle w:val="ListParagraph"/>
        <w:numPr>
          <w:ilvl w:val="0"/>
          <w:numId w:val="2"/>
        </w:numPr>
        <w:spacing w:after="90"/>
      </w:pPr>
      <w:r>
        <w:rPr>
          <w:b/>
          <w:bCs/>
          <w:color w:val="1F4E5C"/>
        </w:rPr>
        <w:t xml:space="preserve">Pregnancy-safety quiz [CLINICAL SIGN-OFF] — </w:t>
      </w:r>
      <w:r>
        <w:t xml:space="preserve">Proceed/modify/avoid/refer decisions; safety-weighted.</w:t>
      </w:r>
    </w:p>
    <w:p>
      <w:pPr>
        <w:pStyle w:val="ListParagraph"/>
        <w:numPr>
          <w:ilvl w:val="0"/>
          <w:numId w:val="2"/>
        </w:numPr>
        <w:spacing w:after="90"/>
      </w:pPr>
      <w:r>
        <w:rPr>
          <w:b/>
          <w:bCs/>
          <w:color w:val="1F4E5C"/>
        </w:rPr>
        <w:t xml:space="preserve">Communication OSCE item — </w:t>
      </w:r>
      <w:r>
        <w:t xml:space="preserve">Assessed dignity-led consultation.</w:t>
      </w:r>
    </w:p>
    <w:p>
      <w:r>
        <w:br w:type="page"/>
      </w:r>
    </w:p>
    <w:p>
      <w:pPr>
        <w:pStyle w:val="Heading1"/>
      </w:pPr>
      <w:r>
        <w:t xml:space="preserve">M14 — Advanced Integration &amp; Complex Case Management</w:t>
      </w:r>
    </w:p>
    <w:p>
      <w:pPr>
        <w:spacing w:after="140"/>
      </w:pPr>
      <w:r>
        <w:rPr>
          <w:i/>
          <w:iCs/>
          <w:color w:val="666666"/>
        </w:rPr>
        <w:t xml:space="preserve">The synthesis module for advanced learners. Assets are case-driven and decision-heavy, integrating everything prior.</w:t>
      </w:r>
    </w:p>
    <w:p>
      <w:pPr>
        <w:pStyle w:val="Heading2"/>
      </w:pPr>
      <w:r>
        <w:t xml:space="preserve">1. Required professional photography</w:t>
      </w:r>
    </w:p>
    <w:p>
      <w:pPr>
        <w:pStyle w:val="ListParagraph"/>
        <w:numPr>
          <w:ilvl w:val="0"/>
          <w:numId w:val="2"/>
        </w:numPr>
        <w:spacing w:after="90"/>
      </w:pPr>
      <w:r>
        <w:rPr>
          <w:b/>
          <w:bCs/>
          <w:color w:val="1F4E5C"/>
        </w:rPr>
        <w:t xml:space="preserve">Complex-case context stills — </w:t>
      </w:r>
      <w:r>
        <w:t xml:space="preserve">Tasteful images supporting multi-factor case studies (no identifiable medical detail).</w:t>
      </w:r>
    </w:p>
    <w:p>
      <w:pPr>
        <w:pStyle w:val="Heading2"/>
      </w:pPr>
      <w:r>
        <w:t xml:space="preserve">2. Required anatomical diagrams</w:t>
      </w:r>
    </w:p>
    <w:p>
      <w:pPr>
        <w:pStyle w:val="ListParagraph"/>
        <w:numPr>
          <w:ilvl w:val="0"/>
          <w:numId w:val="2"/>
        </w:numPr>
        <w:spacing w:after="90"/>
      </w:pPr>
      <w:r>
        <w:rPr>
          <w:b/>
          <w:bCs/>
          <w:color w:val="1F4E5C"/>
        </w:rPr>
        <w:t xml:space="preserve">Integrated overlay recaps — </w:t>
      </w:r>
      <w:r>
        <w:t xml:space="preserve">Composite reuse of anatomy + danger zones + points for complex planning.</w:t>
      </w:r>
    </w:p>
    <w:p>
      <w:pPr>
        <w:pStyle w:val="Heading2"/>
      </w:pPr>
      <w:r>
        <w:t xml:space="preserve">3. Required infographics</w:t>
      </w:r>
    </w:p>
    <w:p>
      <w:pPr>
        <w:pStyle w:val="ListParagraph"/>
        <w:numPr>
          <w:ilvl w:val="0"/>
          <w:numId w:val="2"/>
        </w:numPr>
        <w:spacing w:after="90"/>
      </w:pPr>
      <w:r>
        <w:rPr>
          <w:b/>
          <w:bCs/>
          <w:color w:val="1F4E5C"/>
        </w:rPr>
        <w:t xml:space="preserve">Multimorbidity decision panel [CLINICAL SIGN-OFF] — </w:t>
      </w:r>
      <w:r>
        <w:t xml:space="preserve">A visual for handling clients with multiple risk factors / conditions — when to modify, collaborate, or decline.</w:t>
      </w:r>
    </w:p>
    <w:p>
      <w:pPr>
        <w:pStyle w:val="ListParagraph"/>
        <w:numPr>
          <w:ilvl w:val="0"/>
          <w:numId w:val="2"/>
        </w:numPr>
        <w:spacing w:after="90"/>
      </w:pPr>
      <w:r>
        <w:rPr>
          <w:b/>
          <w:bCs/>
          <w:color w:val="1F4E5C"/>
        </w:rPr>
        <w:t xml:space="preserve">Multidisciplinary-working map — </w:t>
      </w:r>
      <w:r>
        <w:t xml:space="preserve">How and when to liaise with other professionals.</w:t>
      </w:r>
    </w:p>
    <w:p>
      <w:pPr>
        <w:pStyle w:val="Heading2"/>
      </w:pPr>
      <w:r>
        <w:t xml:space="preserve">4. Required charts &amp; graphs</w:t>
      </w:r>
    </w:p>
    <w:p>
      <w:pPr>
        <w:pStyle w:val="ListParagraph"/>
        <w:numPr>
          <w:ilvl w:val="0"/>
          <w:numId w:val="2"/>
        </w:numPr>
        <w:spacing w:after="90"/>
      </w:pPr>
      <w:r>
        <w:rPr>
          <w:b/>
          <w:bCs/>
          <w:color w:val="1F4E5C"/>
        </w:rPr>
        <w:t xml:space="preserve">Complex-case decision tree [CLINICAL SIGN-OFF] — </w:t>
      </w:r>
      <w:r>
        <w:t xml:space="preserve">An advanced flow integrating screening, contraindications, and planning for layered cases.</w:t>
      </w:r>
    </w:p>
    <w:p>
      <w:pPr>
        <w:pStyle w:val="Heading2"/>
      </w:pPr>
      <w:r>
        <w:t xml:space="preserve">5. Required statistics &amp; research visualisations</w:t>
      </w:r>
    </w:p>
    <w:p>
      <w:pPr>
        <w:pStyle w:val="ListParagraph"/>
        <w:numPr>
          <w:ilvl w:val="0"/>
          <w:numId w:val="2"/>
        </w:numPr>
        <w:spacing w:after="90"/>
      </w:pPr>
      <w:r>
        <w:rPr>
          <w:b/>
          <w:bCs/>
          <w:color w:val="1F4E5C"/>
        </w:rPr>
        <w:t xml:space="preserve">Limits-of-evidence panel — </w:t>
      </w:r>
      <w:r>
        <w:t xml:space="preserve">An honest visual on where evidence runs out and caution must lead.</w:t>
      </w:r>
    </w:p>
    <w:p>
      <w:pPr>
        <w:pStyle w:val="Heading2"/>
      </w:pPr>
      <w:r>
        <w:t xml:space="preserve">6. Required educational animations</w:t>
      </w:r>
    </w:p>
    <w:p>
      <w:pPr>
        <w:pStyle w:val="ListParagraph"/>
        <w:numPr>
          <w:ilvl w:val="0"/>
          <w:numId w:val="2"/>
        </w:numPr>
        <w:spacing w:after="90"/>
      </w:pPr>
      <w:r>
        <w:rPr>
          <w:b/>
          <w:bCs/>
          <w:color w:val="1F4E5C"/>
        </w:rPr>
        <w:t xml:space="preserve">Reasoning through a complex case (2 min) — </w:t>
      </w:r>
      <w:r>
        <w:t xml:space="preserve">Animated decision walk-through of a multi-factor case.</w:t>
      </w:r>
    </w:p>
    <w:p>
      <w:pPr>
        <w:pStyle w:val="Heading2"/>
      </w:pPr>
      <w:r>
        <w:t xml:space="preserve">7. Required practical demonstration videos</w:t>
      </w:r>
    </w:p>
    <w:p>
      <w:pPr>
        <w:pStyle w:val="ListParagraph"/>
        <w:numPr>
          <w:ilvl w:val="0"/>
          <w:numId w:val="2"/>
        </w:numPr>
        <w:spacing w:after="90"/>
      </w:pPr>
      <w:r>
        <w:rPr>
          <w:b/>
          <w:bCs/>
          <w:color w:val="1F4E5C"/>
        </w:rPr>
        <w:t xml:space="preserve">Complex-case clinical-reasoning panel (12–15 min) — </w:t>
      </w:r>
      <w:r>
        <w:t xml:space="preserve">Filmed expert discussion reasoning through anonymised complex cases end-to-end.</w:t>
      </w:r>
    </w:p>
    <w:p>
      <w:pPr>
        <w:pStyle w:val="Heading2"/>
      </w:pPr>
      <w:r>
        <w:t xml:space="preserve">8. Required downloadable resources</w:t>
      </w:r>
    </w:p>
    <w:p>
      <w:pPr>
        <w:pStyle w:val="ListParagraph"/>
        <w:numPr>
          <w:ilvl w:val="0"/>
          <w:numId w:val="2"/>
        </w:numPr>
        <w:spacing w:after="90"/>
      </w:pPr>
      <w:r>
        <w:rPr>
          <w:b/>
          <w:bCs/>
          <w:color w:val="1F4E5C"/>
        </w:rPr>
        <w:t xml:space="preserve">Complex-case planning framework — </w:t>
      </w:r>
      <w:r>
        <w:t xml:space="preserve">A structured advanced planning tool.</w:t>
      </w:r>
    </w:p>
    <w:p>
      <w:pPr>
        <w:pStyle w:val="ListParagraph"/>
        <w:numPr>
          <w:ilvl w:val="0"/>
          <w:numId w:val="2"/>
        </w:numPr>
        <w:spacing w:after="90"/>
      </w:pPr>
      <w:r>
        <w:rPr>
          <w:b/>
          <w:bCs/>
          <w:color w:val="1F4E5C"/>
        </w:rPr>
        <w:t xml:space="preserve">Referral &amp; collaboration templates — </w:t>
      </w:r>
      <w:r>
        <w:t xml:space="preserve">For multidisciplinary working.</w:t>
      </w:r>
    </w:p>
    <w:p>
      <w:pPr>
        <w:pStyle w:val="Heading2"/>
      </w:pPr>
      <w:r>
        <w:t xml:space="preserve">9. Required worksheets</w:t>
      </w:r>
    </w:p>
    <w:p>
      <w:pPr>
        <w:pStyle w:val="ListParagraph"/>
        <w:numPr>
          <w:ilvl w:val="0"/>
          <w:numId w:val="2"/>
        </w:numPr>
        <w:spacing w:after="90"/>
      </w:pPr>
      <w:r>
        <w:rPr>
          <w:b/>
          <w:bCs/>
          <w:color w:val="1F4E5C"/>
        </w:rPr>
        <w:t xml:space="preserve">Integrated case worksheets — </w:t>
      </w:r>
      <w:r>
        <w:t xml:space="preserve">Full work-ups of complex cases.</w:t>
      </w:r>
    </w:p>
    <w:p>
      <w:pPr>
        <w:pStyle w:val="Heading2"/>
      </w:pPr>
      <w:r>
        <w:t xml:space="preserve">10. Required assessment assets</w:t>
      </w:r>
    </w:p>
    <w:p>
      <w:pPr>
        <w:pStyle w:val="ListParagraph"/>
        <w:numPr>
          <w:ilvl w:val="0"/>
          <w:numId w:val="2"/>
        </w:numPr>
        <w:spacing w:after="90"/>
      </w:pPr>
      <w:r>
        <w:rPr>
          <w:b/>
          <w:bCs/>
          <w:color w:val="1F4E5C"/>
        </w:rPr>
        <w:t xml:space="preserve">Complex-case simulation [CLINICAL SIGN-OFF] — </w:t>
      </w:r>
      <w:r>
        <w:t xml:space="preserve">Branching advanced scenario scored on safe, integrated decisions.</w:t>
      </w:r>
    </w:p>
    <w:p>
      <w:pPr>
        <w:pStyle w:val="ListParagraph"/>
        <w:numPr>
          <w:ilvl w:val="0"/>
          <w:numId w:val="2"/>
        </w:numPr>
        <w:spacing w:after="90"/>
      </w:pPr>
      <w:r>
        <w:rPr>
          <w:b/>
          <w:bCs/>
          <w:color w:val="1F4E5C"/>
        </w:rPr>
        <w:t xml:space="preserve">Written case-study submission — </w:t>
      </w:r>
      <w:r>
        <w:t xml:space="preserve">Major assignment; detailed rubric. Logbook-linked (5 complex cases).</w:t>
      </w:r>
    </w:p>
    <w:p>
      <w:r>
        <w:br w:type="page"/>
      </w:r>
    </w:p>
    <w:p>
      <w:pPr>
        <w:pStyle w:val="Heading1"/>
      </w:pPr>
      <w:r>
        <w:t xml:space="preserve">M15 — Business Setup, Insurance &amp; Clinic Operations</w:t>
      </w:r>
    </w:p>
    <w:p>
      <w:pPr>
        <w:spacing w:after="140"/>
      </w:pPr>
      <w:r>
        <w:rPr>
          <w:i/>
          <w:iCs/>
          <w:color w:val="666666"/>
        </w:rPr>
        <w:t xml:space="preserve">The module that turns a competent practitioner into a viable premium practice. Assets are operational, template-rich, and confidence-building.</w:t>
      </w:r>
    </w:p>
    <w:p>
      <w:pPr>
        <w:pStyle w:val="Heading2"/>
      </w:pPr>
      <w:r>
        <w:t xml:space="preserve">1. Required professional photography</w:t>
      </w:r>
    </w:p>
    <w:p>
      <w:pPr>
        <w:pStyle w:val="ListParagraph"/>
        <w:numPr>
          <w:ilvl w:val="0"/>
          <w:numId w:val="2"/>
        </w:numPr>
        <w:spacing w:after="90"/>
      </w:pPr>
      <w:r>
        <w:rPr>
          <w:b/>
          <w:bCs/>
          <w:color w:val="1F4E5C"/>
        </w:rPr>
        <w:t xml:space="preserve">Premium-clinic photography — </w:t>
      </w:r>
      <w:r>
        <w:t xml:space="preserve">Aspirational but realistic photographs of a compliant, well-designed treatment space — the standard students aim for.</w:t>
      </w:r>
    </w:p>
    <w:p>
      <w:pPr>
        <w:pStyle w:val="ListParagraph"/>
        <w:numPr>
          <w:ilvl w:val="0"/>
          <w:numId w:val="2"/>
        </w:numPr>
        <w:spacing w:after="90"/>
      </w:pPr>
      <w:r>
        <w:rPr>
          <w:b/>
          <w:bCs/>
          <w:color w:val="1F4E5C"/>
        </w:rPr>
        <w:t xml:space="preserve">Compliant-setup details — </w:t>
      </w:r>
      <w:r>
        <w:t xml:space="preserve">Photographs of correct signage, hand-hygiene stations, waste handling, and record security in situ.</w:t>
      </w:r>
    </w:p>
    <w:p>
      <w:pPr>
        <w:pStyle w:val="Heading2"/>
      </w:pPr>
      <w:r>
        <w:t xml:space="preserve">2. Required anatomical diagrams</w:t>
      </w:r>
    </w:p>
    <w:p>
      <w:pPr>
        <w:spacing w:after="140"/>
      </w:pPr>
      <w:r>
        <w:rPr>
          <w:i/>
          <w:iCs/>
          <w:color w:val="666666"/>
        </w:rPr>
        <w:t xml:space="preserve">Not applicable for this module; covered by shared programme assets (see Part D, reusability).</w:t>
      </w:r>
    </w:p>
    <w:p>
      <w:pPr>
        <w:pStyle w:val="Heading2"/>
      </w:pPr>
      <w:r>
        <w:t xml:space="preserve">3. Required infographics</w:t>
      </w:r>
    </w:p>
    <w:p>
      <w:pPr>
        <w:pStyle w:val="ListParagraph"/>
        <w:numPr>
          <w:ilvl w:val="0"/>
          <w:numId w:val="2"/>
        </w:numPr>
        <w:spacing w:after="90"/>
      </w:pPr>
      <w:r>
        <w:rPr>
          <w:b/>
          <w:bCs/>
          <w:color w:val="1F4E5C"/>
        </w:rPr>
        <w:t xml:space="preserve">Clinic-setup checklist visual — </w:t>
      </w:r>
      <w:r>
        <w:t xml:space="preserve">A single visual of everything needed to open compliantly.</w:t>
      </w:r>
    </w:p>
    <w:p>
      <w:pPr>
        <w:pStyle w:val="ListParagraph"/>
        <w:numPr>
          <w:ilvl w:val="0"/>
          <w:numId w:val="2"/>
        </w:numPr>
        <w:spacing w:after="90"/>
      </w:pPr>
      <w:r>
        <w:rPr>
          <w:b/>
          <w:bCs/>
          <w:color w:val="1F4E5C"/>
        </w:rPr>
        <w:t xml:space="preserve">UK licensing &amp; regulation map — </w:t>
      </w:r>
      <w:r>
        <w:t xml:space="preserve">A plain-English visual of local-authority special-treatment/skin-piercing registration and how it varies — directing students to verify locally.</w:t>
      </w:r>
    </w:p>
    <w:p>
      <w:pPr>
        <w:pStyle w:val="ListParagraph"/>
        <w:numPr>
          <w:ilvl w:val="0"/>
          <w:numId w:val="2"/>
        </w:numPr>
        <w:spacing w:after="90"/>
      </w:pPr>
      <w:r>
        <w:rPr>
          <w:b/>
          <w:bCs/>
          <w:color w:val="1F4E5C"/>
        </w:rPr>
        <w:t xml:space="preserve">Insurance-essentials panel — </w:t>
      </w:r>
      <w:r>
        <w:t xml:space="preserve">Types of cover a Hijama practitioner needs and why.</w:t>
      </w:r>
    </w:p>
    <w:p>
      <w:pPr>
        <w:pStyle w:val="Heading2"/>
      </w:pPr>
      <w:r>
        <w:t xml:space="preserve">4. Required charts &amp; graphs</w:t>
      </w:r>
    </w:p>
    <w:p>
      <w:pPr>
        <w:pStyle w:val="ListParagraph"/>
        <w:numPr>
          <w:ilvl w:val="0"/>
          <w:numId w:val="2"/>
        </w:numPr>
        <w:spacing w:after="90"/>
      </w:pPr>
      <w:r>
        <w:rPr>
          <w:b/>
          <w:bCs/>
          <w:color w:val="1F4E5C"/>
        </w:rPr>
        <w:t xml:space="preserve">Start-up cost &amp; pricing model — </w:t>
      </w:r>
      <w:r>
        <w:t xml:space="preserve">A worked chart of typical set-up costs and a premium pricing structure supporting the £1,500–£3,000 positioning of the field.</w:t>
      </w:r>
    </w:p>
    <w:p>
      <w:pPr>
        <w:pStyle w:val="ListParagraph"/>
        <w:numPr>
          <w:ilvl w:val="0"/>
          <w:numId w:val="2"/>
        </w:numPr>
        <w:spacing w:after="90"/>
      </w:pPr>
      <w:r>
        <w:rPr>
          <w:b/>
          <w:bCs/>
          <w:color w:val="1F4E5C"/>
        </w:rPr>
        <w:t xml:space="preserve">Compliance calendar — </w:t>
      </w:r>
      <w:r>
        <w:t xml:space="preserve">An annual cycle of registrations, inspections, insurance renewals, and CPD.</w:t>
      </w:r>
    </w:p>
    <w:p>
      <w:pPr>
        <w:pStyle w:val="Heading2"/>
      </w:pPr>
      <w:r>
        <w:t xml:space="preserve">5. Required statistics &amp; research visualisations</w:t>
      </w:r>
    </w:p>
    <w:p>
      <w:pPr>
        <w:pStyle w:val="ListParagraph"/>
        <w:numPr>
          <w:ilvl w:val="0"/>
          <w:numId w:val="2"/>
        </w:numPr>
        <w:spacing w:after="90"/>
      </w:pPr>
      <w:r>
        <w:rPr>
          <w:b/>
          <w:bCs/>
          <w:color w:val="1F4E5C"/>
        </w:rPr>
        <w:t xml:space="preserve">Market &amp; demand context — </w:t>
      </w:r>
      <w:r>
        <w:t xml:space="preserve">An honest market-context panel for planning, sourced.</w:t>
      </w:r>
    </w:p>
    <w:p>
      <w:pPr>
        <w:pStyle w:val="Heading2"/>
      </w:pPr>
      <w:r>
        <w:t xml:space="preserve">6. Required educational animations</w:t>
      </w:r>
    </w:p>
    <w:p>
      <w:pPr>
        <w:pStyle w:val="ListParagraph"/>
        <w:numPr>
          <w:ilvl w:val="0"/>
          <w:numId w:val="2"/>
        </w:numPr>
        <w:spacing w:after="90"/>
      </w:pPr>
      <w:r>
        <w:rPr>
          <w:b/>
          <w:bCs/>
          <w:color w:val="1F4E5C"/>
        </w:rPr>
        <w:t xml:space="preserve">From qualified to open (90s) — </w:t>
      </w:r>
      <w:r>
        <w:t xml:space="preserve">Animated journey through the steps to launch a compliant clinic.</w:t>
      </w:r>
    </w:p>
    <w:p>
      <w:pPr>
        <w:pStyle w:val="Heading2"/>
      </w:pPr>
      <w:r>
        <w:t xml:space="preserve">7. Required practical demonstration videos</w:t>
      </w:r>
    </w:p>
    <w:p>
      <w:pPr>
        <w:pStyle w:val="ListParagraph"/>
        <w:numPr>
          <w:ilvl w:val="0"/>
          <w:numId w:val="2"/>
        </w:numPr>
        <w:spacing w:after="90"/>
      </w:pPr>
      <w:r>
        <w:rPr>
          <w:b/>
          <w:bCs/>
          <w:color w:val="1F4E5C"/>
        </w:rPr>
        <w:t xml:space="preserve">Setting up your clinic (12–15 min) — </w:t>
      </w:r>
      <w:r>
        <w:t xml:space="preserve">A practical walkthrough of premises, licensing, insurance, and operations.</w:t>
      </w:r>
    </w:p>
    <w:p>
      <w:pPr>
        <w:pStyle w:val="ListParagraph"/>
        <w:numPr>
          <w:ilvl w:val="0"/>
          <w:numId w:val="2"/>
        </w:numPr>
        <w:spacing w:after="90"/>
      </w:pPr>
      <w:r>
        <w:rPr>
          <w:b/>
          <w:bCs/>
          <w:color w:val="1F4E5C"/>
        </w:rPr>
        <w:t xml:space="preserve">Compliance &amp; inspection readiness (6–8 min) — </w:t>
      </w:r>
      <w:r>
        <w:t xml:space="preserve">What a local-authority inspection looks for and how to be ready.</w:t>
      </w:r>
    </w:p>
    <w:p>
      <w:pPr>
        <w:pStyle w:val="Heading2"/>
      </w:pPr>
      <w:r>
        <w:t xml:space="preserve">8. Required downloadable resources</w:t>
      </w:r>
    </w:p>
    <w:p>
      <w:pPr>
        <w:pStyle w:val="ListParagraph"/>
        <w:numPr>
          <w:ilvl w:val="0"/>
          <w:numId w:val="2"/>
        </w:numPr>
        <w:spacing w:after="90"/>
      </w:pPr>
      <w:r>
        <w:rPr>
          <w:b/>
          <w:bCs/>
          <w:color w:val="1F4E5C"/>
        </w:rPr>
        <w:t xml:space="preserve">Clinic-launch checklist — </w:t>
      </w:r>
      <w:r>
        <w:t xml:space="preserve">The master operational checklist.</w:t>
      </w:r>
    </w:p>
    <w:p>
      <w:pPr>
        <w:pStyle w:val="ListParagraph"/>
        <w:numPr>
          <w:ilvl w:val="0"/>
          <w:numId w:val="2"/>
        </w:numPr>
        <w:spacing w:after="90"/>
      </w:pPr>
      <w:r>
        <w:rPr>
          <w:b/>
          <w:bCs/>
          <w:color w:val="1F4E5C"/>
        </w:rPr>
        <w:t xml:space="preserve">Policies &amp; SOP bundle — </w:t>
      </w:r>
      <w:r>
        <w:t xml:space="preserve">Consolidated templates from across the programme.</w:t>
      </w:r>
    </w:p>
    <w:p>
      <w:pPr>
        <w:pStyle w:val="ListParagraph"/>
        <w:numPr>
          <w:ilvl w:val="0"/>
          <w:numId w:val="2"/>
        </w:numPr>
        <w:spacing w:after="90"/>
      </w:pPr>
      <w:r>
        <w:rPr>
          <w:b/>
          <w:bCs/>
          <w:color w:val="1F4E5C"/>
        </w:rPr>
        <w:t xml:space="preserve">Insurance &amp; licensing guide — </w:t>
      </w:r>
      <w:r>
        <w:t xml:space="preserve">A signposting guide (verify-locally framed).</w:t>
      </w:r>
    </w:p>
    <w:p>
      <w:pPr>
        <w:pStyle w:val="Heading2"/>
      </w:pPr>
      <w:r>
        <w:t xml:space="preserve">9. Required worksheets</w:t>
      </w:r>
    </w:p>
    <w:p>
      <w:pPr>
        <w:pStyle w:val="ListParagraph"/>
        <w:numPr>
          <w:ilvl w:val="0"/>
          <w:numId w:val="2"/>
        </w:numPr>
        <w:spacing w:after="90"/>
      </w:pPr>
      <w:r>
        <w:rPr>
          <w:b/>
          <w:bCs/>
          <w:color w:val="1F4E5C"/>
        </w:rPr>
        <w:t xml:space="preserve">Business-plan worksheet — </w:t>
      </w:r>
      <w:r>
        <w:t xml:space="preserve">Students draft their own premium-practice plan.</w:t>
      </w:r>
    </w:p>
    <w:p>
      <w:pPr>
        <w:pStyle w:val="ListParagraph"/>
        <w:numPr>
          <w:ilvl w:val="0"/>
          <w:numId w:val="2"/>
        </w:numPr>
        <w:spacing w:after="90"/>
      </w:pPr>
      <w:r>
        <w:rPr>
          <w:b/>
          <w:bCs/>
          <w:color w:val="1F4E5C"/>
        </w:rPr>
        <w:t xml:space="preserve">Pricing &amp; costing worksheet — </w:t>
      </w:r>
      <w:r>
        <w:t xml:space="preserve">Build a sustainable pricing model.</w:t>
      </w:r>
    </w:p>
    <w:p>
      <w:pPr>
        <w:pStyle w:val="Heading2"/>
      </w:pPr>
      <w:r>
        <w:t xml:space="preserve">10. Required assessment assets</w:t>
      </w:r>
    </w:p>
    <w:p>
      <w:pPr>
        <w:pStyle w:val="ListParagraph"/>
        <w:numPr>
          <w:ilvl w:val="0"/>
          <w:numId w:val="2"/>
        </w:numPr>
        <w:spacing w:after="90"/>
      </w:pPr>
      <w:r>
        <w:rPr>
          <w:b/>
          <w:bCs/>
          <w:color w:val="1F4E5C"/>
        </w:rPr>
        <w:t xml:space="preserve">Compliance-readiness quiz — </w:t>
      </w:r>
      <w:r>
        <w:t xml:space="preserve">Test of licensing, insurance, and operational essentials.</w:t>
      </w:r>
    </w:p>
    <w:p>
      <w:pPr>
        <w:pStyle w:val="ListParagraph"/>
        <w:numPr>
          <w:ilvl w:val="0"/>
          <w:numId w:val="2"/>
        </w:numPr>
        <w:spacing w:after="90"/>
      </w:pPr>
      <w:r>
        <w:rPr>
          <w:b/>
          <w:bCs/>
          <w:color w:val="1F4E5C"/>
        </w:rPr>
        <w:t xml:space="preserve">Business-plan submission — </w:t>
      </w:r>
      <w:r>
        <w:t xml:space="preserve">Capstone business assignment; rubric-graded.</w:t>
      </w:r>
    </w:p>
    <w:p>
      <w:r>
        <w:br w:type="page"/>
      </w:r>
    </w:p>
    <w:p>
      <w:pPr>
        <w:pStyle w:val="Heading1"/>
      </w:pPr>
      <w:r>
        <w:t xml:space="preserve">M16 — Marketing, SEO &amp; Ethical Client Communication</w:t>
      </w:r>
    </w:p>
    <w:p>
      <w:pPr>
        <w:spacing w:after="140"/>
      </w:pPr>
      <w:r>
        <w:rPr>
          <w:i/>
          <w:iCs/>
          <w:color w:val="666666"/>
        </w:rPr>
        <w:t xml:space="preserve">The reputation module. Every asset here doubles as a guardrail: a premium brand is built on claims it can defend. Heavy emphasis on compliant communication.</w:t>
      </w:r>
    </w:p>
    <w:p>
      <w:pPr>
        <w:pStyle w:val="Heading2"/>
      </w:pPr>
      <w:r>
        <w:t xml:space="preserve">1. Required professional photography</w:t>
      </w:r>
    </w:p>
    <w:p>
      <w:pPr>
        <w:pStyle w:val="ListParagraph"/>
        <w:numPr>
          <w:ilvl w:val="0"/>
          <w:numId w:val="2"/>
        </w:numPr>
        <w:spacing w:after="90"/>
      </w:pPr>
      <w:r>
        <w:rPr>
          <w:b/>
          <w:bCs/>
          <w:color w:val="1F4E5C"/>
        </w:rPr>
        <w:t xml:space="preserve">Brand-photography style guide set — </w:t>
      </w:r>
      <w:r>
        <w:t xml:space="preserve">A curated reference set defining how the practitioner should present themselves and their clinic in marketing — calm, clinical, dignified.</w:t>
      </w:r>
    </w:p>
    <w:p>
      <w:pPr>
        <w:pStyle w:val="Heading2"/>
      </w:pPr>
      <w:r>
        <w:t xml:space="preserve">2. Required anatomical diagrams</w:t>
      </w:r>
    </w:p>
    <w:p>
      <w:pPr>
        <w:spacing w:after="140"/>
      </w:pPr>
      <w:r>
        <w:rPr>
          <w:i/>
          <w:iCs/>
          <w:color w:val="666666"/>
        </w:rPr>
        <w:t xml:space="preserve">Not applicable for this module; covered by shared programme assets (see Part D, reusability).</w:t>
      </w:r>
    </w:p>
    <w:p>
      <w:pPr>
        <w:pStyle w:val="Heading2"/>
      </w:pPr>
      <w:r>
        <w:t xml:space="preserve">3. Required infographics</w:t>
      </w:r>
    </w:p>
    <w:p>
      <w:pPr>
        <w:pStyle w:val="ListParagraph"/>
        <w:numPr>
          <w:ilvl w:val="0"/>
          <w:numId w:val="2"/>
        </w:numPr>
        <w:spacing w:after="90"/>
      </w:pPr>
      <w:r>
        <w:rPr>
          <w:b/>
          <w:bCs/>
          <w:color w:val="1F4E5C"/>
        </w:rPr>
        <w:t xml:space="preserve">Compliant-claims panel [CLINICAL SIGN-OFF in spirit] — </w:t>
      </w:r>
      <w:r>
        <w:t xml:space="preserve">A bold visual of what may and may not be claimed in advertising (ASA-aligned), with green/amber/red examples reused from M1.</w:t>
      </w:r>
    </w:p>
    <w:p>
      <w:pPr>
        <w:pStyle w:val="ListParagraph"/>
        <w:numPr>
          <w:ilvl w:val="0"/>
          <w:numId w:val="2"/>
        </w:numPr>
        <w:spacing w:after="90"/>
      </w:pPr>
      <w:r>
        <w:rPr>
          <w:b/>
          <w:bCs/>
          <w:color w:val="1F4E5C"/>
        </w:rPr>
        <w:t xml:space="preserve">Ethical-marketing principles — </w:t>
      </w:r>
      <w:r>
        <w:t xml:space="preserve">A visual of honest, non-exploitative promotion.</w:t>
      </w:r>
    </w:p>
    <w:p>
      <w:pPr>
        <w:pStyle w:val="ListParagraph"/>
        <w:numPr>
          <w:ilvl w:val="0"/>
          <w:numId w:val="2"/>
        </w:numPr>
        <w:spacing w:after="90"/>
      </w:pPr>
      <w:r>
        <w:rPr>
          <w:b/>
          <w:bCs/>
          <w:color w:val="1F4E5C"/>
        </w:rPr>
        <w:t xml:space="preserve">Client-journey funnel — </w:t>
      </w:r>
      <w:r>
        <w:t xml:space="preserve">A premium client journey from discovery to retention, framed ethically.</w:t>
      </w:r>
    </w:p>
    <w:p>
      <w:pPr>
        <w:pStyle w:val="Heading2"/>
      </w:pPr>
      <w:r>
        <w:t xml:space="preserve">4. Required charts &amp; graphs</w:t>
      </w:r>
    </w:p>
    <w:p>
      <w:pPr>
        <w:pStyle w:val="ListParagraph"/>
        <w:numPr>
          <w:ilvl w:val="0"/>
          <w:numId w:val="2"/>
        </w:numPr>
        <w:spacing w:after="90"/>
      </w:pPr>
      <w:r>
        <w:rPr>
          <w:b/>
          <w:bCs/>
          <w:color w:val="1F4E5C"/>
        </w:rPr>
        <w:t xml:space="preserve">SEO-priorities chart — </w:t>
      </w:r>
      <w:r>
        <w:t xml:space="preserve">A practical visual of where to focus local-SEO effort.</w:t>
      </w:r>
    </w:p>
    <w:p>
      <w:pPr>
        <w:pStyle w:val="ListParagraph"/>
        <w:numPr>
          <w:ilvl w:val="0"/>
          <w:numId w:val="2"/>
        </w:numPr>
        <w:spacing w:after="90"/>
      </w:pPr>
      <w:r>
        <w:rPr>
          <w:b/>
          <w:bCs/>
          <w:color w:val="1F4E5C"/>
        </w:rPr>
        <w:t xml:space="preserve">Content calendar template visual — </w:t>
      </w:r>
      <w:r>
        <w:t xml:space="preserve">A planning chart for compliant content.</w:t>
      </w:r>
    </w:p>
    <w:p>
      <w:pPr>
        <w:pStyle w:val="Heading2"/>
      </w:pPr>
      <w:r>
        <w:t xml:space="preserve">5. Required statistics &amp; research visualisations</w:t>
      </w:r>
    </w:p>
    <w:p>
      <w:pPr>
        <w:pStyle w:val="ListParagraph"/>
        <w:numPr>
          <w:ilvl w:val="0"/>
          <w:numId w:val="2"/>
        </w:numPr>
        <w:spacing w:after="90"/>
      </w:pPr>
      <w:r>
        <w:rPr>
          <w:b/>
          <w:bCs/>
          <w:color w:val="1F4E5C"/>
        </w:rPr>
        <w:t xml:space="preserve">What clients actually want panel — </w:t>
      </w:r>
      <w:r>
        <w:t xml:space="preserve">An honest, sourced visual on trust drivers in healthcare choice.</w:t>
      </w:r>
    </w:p>
    <w:p>
      <w:pPr>
        <w:pStyle w:val="Heading2"/>
      </w:pPr>
      <w:r>
        <w:t xml:space="preserve">6. Required educational animations</w:t>
      </w:r>
    </w:p>
    <w:p>
      <w:pPr>
        <w:pStyle w:val="ListParagraph"/>
        <w:numPr>
          <w:ilvl w:val="0"/>
          <w:numId w:val="2"/>
        </w:numPr>
        <w:spacing w:after="90"/>
      </w:pPr>
      <w:r>
        <w:rPr>
          <w:b/>
          <w:bCs/>
          <w:color w:val="1F4E5C"/>
        </w:rPr>
        <w:t xml:space="preserve">Anatomy of a compliant ad (75s) — </w:t>
      </w:r>
      <w:r>
        <w:t xml:space="preserve">Animation deconstructing a compliant vs non-compliant promotion.</w:t>
      </w:r>
    </w:p>
    <w:p>
      <w:pPr>
        <w:pStyle w:val="Heading2"/>
      </w:pPr>
      <w:r>
        <w:t xml:space="preserve">7. Required practical demonstration videos</w:t>
      </w:r>
    </w:p>
    <w:p>
      <w:pPr>
        <w:pStyle w:val="ListParagraph"/>
        <w:numPr>
          <w:ilvl w:val="0"/>
          <w:numId w:val="2"/>
        </w:numPr>
        <w:spacing w:after="90"/>
      </w:pPr>
      <w:r>
        <w:rPr>
          <w:b/>
          <w:bCs/>
          <w:color w:val="1F4E5C"/>
        </w:rPr>
        <w:t xml:space="preserve">Ethical marketing masterclass (10–12 min) — </w:t>
      </w:r>
      <w:r>
        <w:t xml:space="preserve">Honest promotion, compliant claims, and building authentic authority.</w:t>
      </w:r>
    </w:p>
    <w:p>
      <w:pPr>
        <w:pStyle w:val="ListParagraph"/>
        <w:numPr>
          <w:ilvl w:val="0"/>
          <w:numId w:val="2"/>
        </w:numPr>
        <w:spacing w:after="90"/>
      </w:pPr>
      <w:r>
        <w:rPr>
          <w:b/>
          <w:bCs/>
          <w:color w:val="1F4E5C"/>
        </w:rPr>
        <w:t xml:space="preserve">Website &amp; local-SEO walkthrough (8–10 min) — </w:t>
      </w:r>
      <w:r>
        <w:t xml:space="preserve">Practical, screen-captured guidance for a premium, compliant web presence.</w:t>
      </w:r>
    </w:p>
    <w:p>
      <w:pPr>
        <w:pStyle w:val="Heading2"/>
      </w:pPr>
      <w:r>
        <w:t xml:space="preserve">8. Required downloadable resources</w:t>
      </w:r>
    </w:p>
    <w:p>
      <w:pPr>
        <w:pStyle w:val="ListParagraph"/>
        <w:numPr>
          <w:ilvl w:val="0"/>
          <w:numId w:val="2"/>
        </w:numPr>
        <w:spacing w:after="90"/>
      </w:pPr>
      <w:r>
        <w:rPr>
          <w:b/>
          <w:bCs/>
          <w:color w:val="1F4E5C"/>
        </w:rPr>
        <w:t xml:space="preserve">Compliant-claims reference card [CLINICAL SIGN-OFF in spirit] — </w:t>
      </w:r>
      <w:r>
        <w:t xml:space="preserve">The do/never claims card — the most important marketing asset in the programme.</w:t>
      </w:r>
    </w:p>
    <w:p>
      <w:pPr>
        <w:pStyle w:val="ListParagraph"/>
        <w:numPr>
          <w:ilvl w:val="0"/>
          <w:numId w:val="2"/>
        </w:numPr>
        <w:spacing w:after="90"/>
      </w:pPr>
      <w:r>
        <w:rPr>
          <w:b/>
          <w:bCs/>
          <w:color w:val="1F4E5C"/>
        </w:rPr>
        <w:t xml:space="preserve">Website &amp; content templates — </w:t>
      </w:r>
      <w:r>
        <w:t xml:space="preserve">Premium-feel, compliant starting points.</w:t>
      </w:r>
    </w:p>
    <w:p>
      <w:pPr>
        <w:pStyle w:val="ListParagraph"/>
        <w:numPr>
          <w:ilvl w:val="0"/>
          <w:numId w:val="2"/>
        </w:numPr>
        <w:spacing w:after="90"/>
      </w:pPr>
      <w:r>
        <w:rPr>
          <w:b/>
          <w:bCs/>
          <w:color w:val="1F4E5C"/>
        </w:rPr>
        <w:t xml:space="preserve">Local-SEO checklist — </w:t>
      </w:r>
      <w:r>
        <w:t xml:space="preserve">Actionable optimisation steps.</w:t>
      </w:r>
    </w:p>
    <w:p>
      <w:pPr>
        <w:pStyle w:val="Heading2"/>
      </w:pPr>
      <w:r>
        <w:t xml:space="preserve">9. Required worksheets</w:t>
      </w:r>
    </w:p>
    <w:p>
      <w:pPr>
        <w:pStyle w:val="ListParagraph"/>
        <w:numPr>
          <w:ilvl w:val="0"/>
          <w:numId w:val="2"/>
        </w:numPr>
        <w:spacing w:after="90"/>
      </w:pPr>
      <w:r>
        <w:rPr>
          <w:b/>
          <w:bCs/>
          <w:color w:val="1F4E5C"/>
        </w:rPr>
        <w:t xml:space="preserve">Claim-rewrite worksheet — </w:t>
      </w:r>
      <w:r>
        <w:t xml:space="preserve">Turn non-compliant claims into compliant ones.</w:t>
      </w:r>
    </w:p>
    <w:p>
      <w:pPr>
        <w:pStyle w:val="ListParagraph"/>
        <w:numPr>
          <w:ilvl w:val="0"/>
          <w:numId w:val="2"/>
        </w:numPr>
        <w:spacing w:after="90"/>
      </w:pPr>
      <w:r>
        <w:rPr>
          <w:b/>
          <w:bCs/>
          <w:color w:val="1F4E5C"/>
        </w:rPr>
        <w:t xml:space="preserve">Marketing-plan worksheet — </w:t>
      </w:r>
      <w:r>
        <w:t xml:space="preserve">Build an ethical marketing plan.</w:t>
      </w:r>
    </w:p>
    <w:p>
      <w:pPr>
        <w:pStyle w:val="Heading2"/>
      </w:pPr>
      <w:r>
        <w:t xml:space="preserve">10. Required assessment assets</w:t>
      </w:r>
    </w:p>
    <w:p>
      <w:pPr>
        <w:pStyle w:val="ListParagraph"/>
        <w:numPr>
          <w:ilvl w:val="0"/>
          <w:numId w:val="2"/>
        </w:numPr>
        <w:spacing w:after="90"/>
      </w:pPr>
      <w:r>
        <w:rPr>
          <w:b/>
          <w:bCs/>
          <w:color w:val="1F4E5C"/>
        </w:rPr>
        <w:t xml:space="preserve">Spot-the-non-compliant-claim quiz — </w:t>
      </w:r>
      <w:r>
        <w:t xml:space="preserve">Identify and fix prohibited claims.</w:t>
      </w:r>
    </w:p>
    <w:p>
      <w:pPr>
        <w:pStyle w:val="ListParagraph"/>
        <w:numPr>
          <w:ilvl w:val="0"/>
          <w:numId w:val="2"/>
        </w:numPr>
        <w:spacing w:after="90"/>
      </w:pPr>
      <w:r>
        <w:rPr>
          <w:b/>
          <w:bCs/>
          <w:color w:val="1F4E5C"/>
        </w:rPr>
        <w:t xml:space="preserve">Marketing-plan submission — </w:t>
      </w:r>
      <w:r>
        <w:t xml:space="preserve">Final assignment; rubric-graded for compliance and quality.</w:t>
      </w:r>
    </w:p>
    <w:p>
      <w:r>
        <w:br w:type="page"/>
      </w:r>
    </w:p>
    <w:p>
      <w:pPr>
        <w:pStyle w:val="Heading1"/>
      </w:pPr>
      <w:r>
        <w:t xml:space="preserve">Part C — Module 1: Lesson-by-Lesson Production Brief</w:t>
      </w:r>
    </w:p>
    <w:p>
      <w:pPr>
        <w:spacing w:after="140"/>
      </w:pPr>
      <w:r>
        <w:rPr>
          <w:i/>
          <w:iCs/>
        </w:rPr>
        <w:t xml:space="preserve">This is the fully worked example you asked for: every Module 1 lesson specified at the level required for every lesson in the programme. For each lesson we give the visual assets required, exact image descriptions, exact infographic descriptions, exact chart descriptions, exact video content, research callout boxes, clinical pearls, evidence summaries, and knowledge-check interactions. The production team replicates this structure for Modules 2–16; this brief defines the standard and the template.</w:t>
      </w:r>
    </w:p>
    <w:p>
      <w:pPr>
        <w:spacing w:after="140"/>
      </w:pPr>
      <w:r>
        <w:t xml:space="preserve">Note on the difference between Part B and Part C: Part B gives the module-level asset schedule (what to commission); Part C shows, at lesson granularity, exactly how those assets are described, placed, and paired with on-page learning elements (callouts, pearls, evidence summaries, interactions) to create the premium experience.</w:t>
      </w:r>
    </w:p>
    <w:p>
      <w:r>
        <w:br w:type="page"/>
      </w:r>
    </w:p>
    <w:p>
      <w:pPr>
        <w:pStyle w:val="Heading1"/>
      </w:pPr>
      <w:r>
        <w:t xml:space="preserve">Lesson 1.1 — What is Hijama? Definitions and Modalities</w:t>
      </w:r>
    </w:p>
    <w:p>
      <w:pPr>
        <w:pStyle w:val="Heading2"/>
      </w:pPr>
      <w:r>
        <w:t xml:space="preserve">Visual assets required</w:t>
      </w:r>
    </w:p>
    <w:p>
      <w:pPr>
        <w:pStyle w:val="ListParagraph"/>
        <w:numPr>
          <w:ilvl w:val="0"/>
          <w:numId w:val="2"/>
        </w:numPr>
      </w:pPr>
      <w:r>
        <w:t xml:space="preserve">Lesson hero image (modalities flat-lay).</w:t>
      </w:r>
    </w:p>
    <w:p>
      <w:pPr>
        <w:pStyle w:val="ListParagraph"/>
        <w:numPr>
          <w:ilvl w:val="0"/>
          <w:numId w:val="2"/>
        </w:numPr>
      </w:pPr>
      <w:r>
        <w:t xml:space="preserve">Dry-vs-wet comparison image pair.</w:t>
      </w:r>
    </w:p>
    <w:p>
      <w:pPr>
        <w:pStyle w:val="ListParagraph"/>
        <w:numPr>
          <w:ilvl w:val="0"/>
          <w:numId w:val="2"/>
        </w:numPr>
      </w:pPr>
      <w:r>
        <w:t xml:space="preserve">Modalities family-tree infographic.</w:t>
      </w:r>
    </w:p>
    <w:p>
      <w:pPr>
        <w:pStyle w:val="ListParagraph"/>
        <w:numPr>
          <w:ilvl w:val="0"/>
          <w:numId w:val="2"/>
        </w:numPr>
      </w:pPr>
      <w:r>
        <w:t xml:space="preserve">Terminology reference card.</w:t>
      </w:r>
    </w:p>
    <w:p>
      <w:pPr>
        <w:pStyle w:val="ListParagraph"/>
        <w:numPr>
          <w:ilvl w:val="0"/>
          <w:numId w:val="2"/>
        </w:numPr>
      </w:pPr>
      <w:r>
        <w:t xml:space="preserve">Suction-on-tissue schematic (intro).</w:t>
      </w:r>
    </w:p>
    <w:p>
      <w:pPr>
        <w:pStyle w:val="ListParagraph"/>
        <w:numPr>
          <w:ilvl w:val="0"/>
          <w:numId w:val="2"/>
        </w:numPr>
      </w:pPr>
      <w:r>
        <w:t xml:space="preserve">Scope-of-practice boundary infographic.</w:t>
      </w:r>
    </w:p>
    <w:p>
      <w:pPr>
        <w:pStyle w:val="ListParagraph"/>
        <w:numPr>
          <w:ilvl w:val="0"/>
          <w:numId w:val="2"/>
        </w:numPr>
      </w:pPr>
      <w:r>
        <w:t xml:space="preserve">'How suction affects tissue' animation (60s).</w:t>
      </w:r>
    </w:p>
    <w:p>
      <w:pPr>
        <w:pStyle w:val="ListParagraph"/>
        <w:numPr>
          <w:ilvl w:val="0"/>
          <w:numId w:val="2"/>
        </w:numPr>
      </w:pPr>
      <w:r>
        <w:t xml:space="preserve">'What is Hijama?' explainer video (4–5 min).</w:t>
      </w:r>
    </w:p>
    <w:p>
      <w:pPr>
        <w:pStyle w:val="Heading2"/>
      </w:pPr>
      <w:r>
        <w:t xml:space="preserve">Exact image descriptions</w:t>
      </w:r>
    </w:p>
    <w:p>
      <w:pPr>
        <w:pStyle w:val="ListParagraph"/>
        <w:numPr>
          <w:ilvl w:val="0"/>
          <w:numId w:val="2"/>
        </w:numPr>
        <w:spacing w:after="90"/>
      </w:pPr>
      <w:r>
        <w:rPr>
          <w:b/>
          <w:bCs/>
          <w:color w:val="1F4E5C"/>
        </w:rPr>
        <w:t xml:space="preserve">Hero flat-lay — </w:t>
      </w:r>
      <w:r>
        <w:t xml:space="preserve">Top-down photograph on a matte off-white clinical surface: a row of plastic pump cups (graduated sizes), one glass fire-cup, a sealed single-use sterile blade pack, nitrile gloves folded, and a folded clean drape. Soft even daylight-balanced light, faint long shadows, deep-teal lower-third bar for the lesson title. No blood, no incision. Mood: calm, ordered, clinical. Deliver 16:9 and 1:1.</w:t>
      </w:r>
    </w:p>
    <w:p>
      <w:pPr>
        <w:pStyle w:val="ListParagraph"/>
        <w:numPr>
          <w:ilvl w:val="0"/>
          <w:numId w:val="2"/>
        </w:numPr>
        <w:spacing w:after="90"/>
      </w:pPr>
      <w:r>
        <w:rPr>
          <w:b/>
          <w:bCs/>
          <w:color w:val="1F4E5C"/>
        </w:rPr>
        <w:t xml:space="preserve">Dry-cupping image (of the pair) — </w:t>
      </w:r>
      <w:r>
        <w:t xml:space="preserve">A back (mid-range skin tone) with four to six fixed cups in place on the upper back, skin intact, gentle dome of tissue visible inside each cup, natural lighting. Caption space lower-left.</w:t>
      </w:r>
    </w:p>
    <w:p>
      <w:pPr>
        <w:pStyle w:val="ListParagraph"/>
        <w:numPr>
          <w:ilvl w:val="0"/>
          <w:numId w:val="2"/>
        </w:numPr>
        <w:spacing w:after="90"/>
      </w:pPr>
      <w:r>
        <w:rPr>
          <w:b/>
          <w:bCs/>
          <w:color w:val="1F4E5C"/>
        </w:rPr>
        <w:t xml:space="preserve">Wet-cupping image (of the pair) — </w:t>
      </w:r>
      <w:r>
        <w:t xml:space="preserve">A matched composition: the same framing, but showing the prepared sterile field and a sealed single-use blade pack beside marked (not incised) skin. The image communicates 'skin will be broken' through the visible sterile blade pack and field, without depicting an incision. Identical lighting/crop to its pair so the only felt difference is the safety set-up.</w:t>
      </w:r>
    </w:p>
    <w:p>
      <w:pPr>
        <w:pStyle w:val="ListParagraph"/>
        <w:numPr>
          <w:ilvl w:val="0"/>
          <w:numId w:val="2"/>
        </w:numPr>
        <w:spacing w:after="90"/>
      </w:pPr>
      <w:r>
        <w:rPr>
          <w:b/>
          <w:bCs/>
          <w:color w:val="1F4E5C"/>
        </w:rPr>
        <w:t xml:space="preserve">Skin-tone treatment — </w:t>
      </w:r>
      <w:r>
        <w:t xml:space="preserve">Commission the pair, and ideally the whole modalities set, on at least three skin tones so the lesson never implies a single 'default' body.</w:t>
      </w:r>
    </w:p>
    <w:p>
      <w:pPr>
        <w:pStyle w:val="Heading2"/>
      </w:pPr>
      <w:r>
        <w:t xml:space="preserve">Exact infographic descriptions</w:t>
      </w:r>
    </w:p>
    <w:p>
      <w:pPr>
        <w:pStyle w:val="ListParagraph"/>
        <w:numPr>
          <w:ilvl w:val="0"/>
          <w:numId w:val="2"/>
        </w:numPr>
        <w:spacing w:after="90"/>
      </w:pPr>
      <w:r>
        <w:rPr>
          <w:b/>
          <w:bCs/>
          <w:color w:val="1F4E5C"/>
        </w:rPr>
        <w:t xml:space="preserve">Modalities family tree — </w:t>
      </w:r>
      <w:r>
        <w:t xml:space="preserve">A centred root node labelled 'CUPPING (umbrella term)'. Two primary branches: 'DRY — skin intact' (children: Fixed/Retained, Flash, Moving/Glide, Oil/Massage) and 'WET — Hijama — skin broken' (child note: controlled superficial incision + suction, small measured blood volume). A bold horizontal rule runs across the middle of the graphic labelled 'THE LINE THAT CHANGES EVERYTHING: risk · regulation · consent · aftercare', with dry branches above the line tinted pale teal and the wet branch below tinted muted gold. Bottom strip restates the three-term vocabulary.</w:t>
      </w:r>
    </w:p>
    <w:p>
      <w:pPr>
        <w:pStyle w:val="ListParagraph"/>
        <w:numPr>
          <w:ilvl w:val="0"/>
          <w:numId w:val="2"/>
        </w:numPr>
        <w:spacing w:after="90"/>
      </w:pPr>
      <w:r>
        <w:rPr>
          <w:b/>
          <w:bCs/>
          <w:color w:val="1F4E5C"/>
        </w:rPr>
        <w:t xml:space="preserve">Terminology card — </w:t>
      </w:r>
      <w:r>
        <w:t xml:space="preserve">A three-row card. Row 1: 'Dry cupping — suction only; skin is not broken.' Row 2: 'Wet cupping / Hijama — controlled superficial incision plus suction; a small, measured quantity of blood is drawn.' Row 3: 'Cupping — the umbrella family term covering both.' Each row has a tiny icon (cup; cup + blade pack; bracketed family). Designed to be screenshot-saved by students.</w:t>
      </w:r>
    </w:p>
    <w:p>
      <w:pPr>
        <w:pStyle w:val="ListParagraph"/>
        <w:numPr>
          <w:ilvl w:val="0"/>
          <w:numId w:val="2"/>
        </w:numPr>
        <w:spacing w:after="90"/>
      </w:pPr>
      <w:r>
        <w:rPr>
          <w:b/>
          <w:bCs/>
          <w:color w:val="1F4E5C"/>
        </w:rPr>
        <w:t xml:space="preserve">Scope-of-practice boundary — </w:t>
      </w:r>
      <w:r>
        <w:t xml:space="preserve">Two columns. Left (teal header) 'Within scope': provide cupping as therapy, take history, screen, consent, select sites, aftercare, records. Right (gold header) 'Refer instead — do NOT attempt': diagnose disease, prescribe/adjust medication, replace medical treatment, treat conditions in place of a clinician. A vertical divider labelled 'the line you do not cross'.</w:t>
      </w:r>
    </w:p>
    <w:p>
      <w:pPr>
        <w:pStyle w:val="Heading2"/>
      </w:pPr>
      <w:r>
        <w:t xml:space="preserve">Exact chart descriptions</w:t>
      </w:r>
    </w:p>
    <w:p>
      <w:pPr>
        <w:pStyle w:val="ListParagraph"/>
        <w:numPr>
          <w:ilvl w:val="0"/>
          <w:numId w:val="2"/>
        </w:numPr>
        <w:spacing w:after="90"/>
      </w:pPr>
      <w:r>
        <w:rPr>
          <w:b/>
          <w:bCs/>
          <w:color w:val="1F4E5C"/>
        </w:rPr>
        <w:t xml:space="preserve">Risk-profile bar (intro) — </w:t>
      </w:r>
      <w:r>
        <w:t xml:space="preserve">A simple two-bar horizontal chart, x-axis 'relative risk profile (illustrative, not to scale)'. Bar 1 'Dry cupping — skin intact' short, pale teal. Bar 2 'Wet cupping — skin-piercing' longer, muted gold, with a small icon flag reading 'bloodborne-pathogen context'. Caption: 'Illustrative comparison of inherent procedural risk, not a measured statistic.' The honesty of the caption is part of the teaching.</w:t>
      </w:r>
    </w:p>
    <w:p>
      <w:pPr>
        <w:pStyle w:val="Heading2"/>
      </w:pPr>
      <w:r>
        <w:t xml:space="preserve">Exact video content</w:t>
      </w:r>
    </w:p>
    <w:p>
      <w:pPr>
        <w:pStyle w:val="ListParagraph"/>
        <w:numPr>
          <w:ilvl w:val="0"/>
          <w:numId w:val="2"/>
        </w:numPr>
        <w:spacing w:after="90"/>
      </w:pPr>
      <w:r>
        <w:rPr>
          <w:b/>
          <w:bCs/>
          <w:color w:val="1F4E5C"/>
        </w:rPr>
        <w:t xml:space="preserve">'What is Hijama?' explainer (4–5 min) — </w:t>
      </w:r>
      <w:r>
        <w:t xml:space="preserve">Open on presenter in clinic with the flat-lay equipment on the bench. Beat 1 (0:00–0:40): the two-clinics thought experiment narrated over the dry/wet image pair. Beat 2 (0:40–2:00): presenter picks up each item and names the modalities, on-screen labels appearing. Beat 3 (2:00–3:20): the bright line — 'this one breaks the skin' — cut to the family-tree infographic animating its central rule. Beat 4 (3:20–4:30): mechanism honesty — presenter delivers the model 'how it works' sentence to camera. Close on the terminology card. No incision shown. Burned-in captions; teal lower-thirds.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FF1" w:sz="2"/>
              <w:left w:val="single" w:color="1F4E5C" w:sz="18"/>
              <w:bottom w:val="single" w:color="E7EFF1" w:sz="2"/>
              <w:right w:val="single" w:color="E7EFF1" w:sz="2"/>
            </w:tcBorders>
            <w:shd w:fill="E7EFF1" w:val="clear"/>
            <w:tcMar>
              <w:top w:type="dxa" w:w="120"/>
              <w:left w:type="dxa" w:w="160"/>
              <w:bottom w:type="dxa" w:w="120"/>
              <w:right w:type="dxa" w:w="160"/>
            </w:tcMar>
          </w:tcPr>
          <w:p>
            <w:pPr>
              <w:spacing w:after="60"/>
            </w:pPr>
            <w:r>
              <w:rPr>
                <w:b/>
                <w:bCs/>
                <w:color w:val="1F4E5C"/>
              </w:rPr>
              <w:t xml:space="preserve">Research callout box (on-page asset)</w:t>
            </w:r>
          </w:p>
          <w:p>
            <w:pPr>
              <w:spacing w:after="40"/>
            </w:pPr>
            <w:r>
              <w:t xml:space="preserve">Place beside the mechanism section. Heading: 'What the research says about how cupping works.' Body: a 40–60 word evidence-honest note stating that suction's local effects (increased blood flow, the characteristic mark) are observable, while broader mechanisms remain theorised and the clinical evidence base is still developing. Styled in the pale-teal callout with a small 'RESEARCH' tag. Links to the lesson's reference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Clinical pearl (on-page asset)</w:t>
            </w:r>
          </w:p>
          <w:p>
            <w:pPr>
              <w:spacing w:after="40"/>
            </w:pPr>
            <w:r>
              <w:t xml:space="preserve">Gold-bordered 'CLINICAL PEARL' panel: 'When a client says “cupping,” it tells you almost nothing about what they expect or consent to. Your first job is always to ask: “What do you mean by cupping — and have you had it before?”' Short, memorable, reused as a recurring design motif across the programme.</w:t>
            </w:r>
          </w:p>
        </w:tc>
      </w:tr>
    </w:tbl>
    <w:p>
      <w:pPr>
        <w:pStyle w:val="Heading2"/>
      </w:pPr>
      <w:r>
        <w:t xml:space="preserve">Evidence summary (on-page asset)</w:t>
      </w:r>
    </w:p>
    <w:p>
      <w:pPr>
        <w:spacing w:after="140"/>
      </w:pPr>
      <w:r>
        <w:t xml:space="preserve">A compact, repeatable component placed at the foot of the lesson. For Lesson 1.1 it reads as three graded lines using the traffic-light system:</w:t>
      </w:r>
    </w:p>
    <w:p>
      <w:pPr>
        <w:pStyle w:val="ListParagraph"/>
        <w:numPr>
          <w:ilvl w:val="1"/>
          <w:numId w:val="2"/>
        </w:numPr>
        <w:spacing w:after="70"/>
      </w:pPr>
      <w:r>
        <w:rPr>
          <w:b/>
          <w:bCs/>
        </w:rPr>
        <w:t xml:space="preserve">Green (well-supported): </w:t>
      </w:r>
      <w:r>
        <w:t xml:space="preserve">Suction increases local blood flow and produces the characteristic marks.</w:t>
      </w:r>
    </w:p>
    <w:p>
      <w:pPr>
        <w:pStyle w:val="ListParagraph"/>
        <w:numPr>
          <w:ilvl w:val="1"/>
          <w:numId w:val="2"/>
        </w:numPr>
        <w:spacing w:after="70"/>
      </w:pPr>
      <w:r>
        <w:rPr>
          <w:b/>
          <w:bCs/>
        </w:rPr>
        <w:t xml:space="preserve">Amber (limited / developing): </w:t>
      </w:r>
      <w:r>
        <w:t xml:space="preserve">Some studies suggest benefit for certain muscular and pain complaints; quality is mixed.</w:t>
      </w:r>
    </w:p>
    <w:p>
      <w:pPr>
        <w:pStyle w:val="ListParagraph"/>
        <w:numPr>
          <w:ilvl w:val="1"/>
          <w:numId w:val="2"/>
        </w:numPr>
        <w:spacing w:after="70"/>
      </w:pPr>
      <w:r>
        <w:rPr>
          <w:b/>
          <w:bCs/>
        </w:rPr>
        <w:t xml:space="preserve">Red (not supported / do not claim): </w:t>
      </w:r>
      <w:r>
        <w:t xml:space="preserve">That cupping 'removes toxins', cures disease, or replaces medical treatment.</w:t>
      </w:r>
    </w:p>
    <w:p>
      <w:pPr>
        <w:pStyle w:val="Heading2"/>
      </w:pPr>
      <w:r>
        <w:t xml:space="preserve">Knowledge-check interactions</w:t>
      </w:r>
    </w:p>
    <w:p>
      <w:pPr>
        <w:pStyle w:val="ListParagraph"/>
        <w:numPr>
          <w:ilvl w:val="0"/>
          <w:numId w:val="2"/>
        </w:numPr>
        <w:spacing w:after="90"/>
      </w:pPr>
      <w:r>
        <w:rPr>
          <w:b/>
          <w:bCs/>
          <w:color w:val="1F4E5C"/>
        </w:rPr>
        <w:t xml:space="preserve">Drag-to-classify (modalities) — </w:t>
      </w:r>
      <w:r>
        <w:t xml:space="preserve">Students drag six labels (fixed, flash, glide, oil, wet/Hijama, and a distractor) above or below the 'skin broken?' line. Immediate feedback explains the safety consequence of each.</w:t>
      </w:r>
    </w:p>
    <w:p>
      <w:pPr>
        <w:pStyle w:val="ListParagraph"/>
        <w:numPr>
          <w:ilvl w:val="0"/>
          <w:numId w:val="2"/>
        </w:numPr>
        <w:spacing w:after="90"/>
      </w:pPr>
      <w:r>
        <w:rPr>
          <w:b/>
          <w:bCs/>
          <w:color w:val="1F4E5C"/>
        </w:rPr>
        <w:t xml:space="preserve">Claim traffic-light sorter — </w:t>
      </w:r>
      <w:r>
        <w:t xml:space="preserve">Students sort five sample claims into green/amber/red bins; on submit, each reveals the rationale and (for amber) the caveat wording to use with clients.</w:t>
      </w:r>
    </w:p>
    <w:p>
      <w:pPr>
        <w:pStyle w:val="ListParagraph"/>
        <w:numPr>
          <w:ilvl w:val="0"/>
          <w:numId w:val="2"/>
        </w:numPr>
        <w:spacing w:after="90"/>
      </w:pPr>
      <w:r>
        <w:rPr>
          <w:b/>
          <w:bCs/>
          <w:color w:val="1F4E5C"/>
        </w:rPr>
        <w:t xml:space="preserve">Scope boundary tap — </w:t>
      </w:r>
      <w:r>
        <w:t xml:space="preserve">A list of activities; tap each as 'within scope' or 'refer'. Misclassifying a 'refer' item triggers a safety-styled correction.</w:t>
      </w:r>
    </w:p>
    <w:p>
      <w:pPr>
        <w:pStyle w:val="ListParagraph"/>
        <w:numPr>
          <w:ilvl w:val="0"/>
          <w:numId w:val="2"/>
        </w:numPr>
        <w:spacing w:after="90"/>
      </w:pPr>
      <w:r>
        <w:rPr>
          <w:b/>
          <w:bCs/>
          <w:color w:val="1F4E5C"/>
        </w:rPr>
        <w:t xml:space="preserve">Reflective text entry — </w:t>
      </w:r>
      <w:r>
        <w:t xml:space="preserve">'Write your 60-word client-facing definition of Hijama.' Saved to the student's portfolio and revisited at end of module (mirrors the lesson's own exercise).</w:t>
      </w:r>
    </w:p>
    <w:p>
      <w:r>
        <w:br w:type="page"/>
      </w:r>
    </w:p>
    <w:p>
      <w:pPr>
        <w:pStyle w:val="Heading1"/>
      </w:pPr>
      <w:r>
        <w:t xml:space="preserve">Lesson 1.2 — Ancient Origins of Cupping</w:t>
      </w:r>
    </w:p>
    <w:p>
      <w:pPr>
        <w:pStyle w:val="Heading2"/>
      </w:pPr>
      <w:r>
        <w:t xml:space="preserve">Visual assets required</w:t>
      </w:r>
    </w:p>
    <w:p>
      <w:pPr>
        <w:pStyle w:val="ListParagraph"/>
        <w:numPr>
          <w:ilvl w:val="0"/>
          <w:numId w:val="2"/>
        </w:numPr>
      </w:pPr>
      <w:r>
        <w:t xml:space="preserve">Lesson hero image (instruments-through-history).</w:t>
      </w:r>
    </w:p>
    <w:p>
      <w:pPr>
        <w:pStyle w:val="ListParagraph"/>
        <w:numPr>
          <w:ilvl w:val="0"/>
          <w:numId w:val="2"/>
        </w:numPr>
      </w:pPr>
      <w:r>
        <w:t xml:space="preserve">Cupping history timeline chart.</w:t>
      </w:r>
    </w:p>
    <w:p>
      <w:pPr>
        <w:pStyle w:val="ListParagraph"/>
        <w:numPr>
          <w:ilvl w:val="0"/>
          <w:numId w:val="2"/>
        </w:numPr>
      </w:pPr>
      <w:r>
        <w:t xml:space="preserve">Instruments-evolution infographic.</w:t>
      </w:r>
    </w:p>
    <w:p>
      <w:pPr>
        <w:pStyle w:val="ListParagraph"/>
        <w:numPr>
          <w:ilvl w:val="0"/>
          <w:numId w:val="2"/>
        </w:numPr>
      </w:pPr>
      <w:r>
        <w:t xml:space="preserve">Global-traditions map.</w:t>
      </w:r>
    </w:p>
    <w:p>
      <w:pPr>
        <w:pStyle w:val="ListParagraph"/>
        <w:numPr>
          <w:ilvl w:val="0"/>
          <w:numId w:val="2"/>
        </w:numPr>
      </w:pPr>
      <w:r>
        <w:t xml:space="preserve">Humoral-theory explainer infographic.</w:t>
      </w:r>
    </w:p>
    <w:p>
      <w:pPr>
        <w:pStyle w:val="ListParagraph"/>
        <w:numPr>
          <w:ilvl w:val="0"/>
          <w:numId w:val="2"/>
        </w:numPr>
      </w:pPr>
      <w:r>
        <w:t xml:space="preserve">Bloodletting-and-cupping 'tangled inheritance' infographic.</w:t>
      </w:r>
    </w:p>
    <w:p>
      <w:pPr>
        <w:pStyle w:val="ListParagraph"/>
        <w:numPr>
          <w:ilvl w:val="0"/>
          <w:numId w:val="2"/>
        </w:numPr>
      </w:pPr>
      <w:r>
        <w:t xml:space="preserve">(Optional) short motion version of the timeline.</w:t>
      </w:r>
    </w:p>
    <w:p>
      <w:pPr>
        <w:pStyle w:val="Heading2"/>
      </w:pPr>
      <w:r>
        <w:t xml:space="preserve">Exact image descriptions</w:t>
      </w:r>
    </w:p>
    <w:p>
      <w:pPr>
        <w:pStyle w:val="ListParagraph"/>
        <w:numPr>
          <w:ilvl w:val="0"/>
          <w:numId w:val="2"/>
        </w:numPr>
        <w:spacing w:after="90"/>
      </w:pPr>
      <w:r>
        <w:rPr>
          <w:b/>
          <w:bCs/>
          <w:color w:val="1F4E5C"/>
        </w:rPr>
        <w:t xml:space="preserve">Instruments hero — </w:t>
      </w:r>
      <w:r>
        <w:t xml:space="preserve">A dignified still-life, side-lit on a dark neutral background: left to right, a polished animal horn, a small bronze cup, a fired-clay cup, a clear glass fire-cup, and a modern plastic pump cup with valve — a single line of objects reading as a timeline of materials. Subtle depth of field. Muted, museum-like tone. No theatrical 'ancient' clichés.</w:t>
      </w:r>
    </w:p>
    <w:p>
      <w:pPr>
        <w:pStyle w:val="ListParagraph"/>
        <w:numPr>
          <w:ilvl w:val="0"/>
          <w:numId w:val="2"/>
        </w:numPr>
        <w:spacing w:after="90"/>
      </w:pPr>
      <w:r>
        <w:rPr>
          <w:b/>
          <w:bCs/>
          <w:color w:val="1F4E5C"/>
        </w:rPr>
        <w:t xml:space="preserve">Texture details — </w:t>
      </w:r>
      <w:r>
        <w:t xml:space="preserve">Three supporting macro shots: aged manuscript paper grain; the rim of the glass cup catching light; the valve mechanism of the modern pump cup. Used as section dividers within the lesson.</w:t>
      </w:r>
    </w:p>
    <w:p>
      <w:pPr>
        <w:pStyle w:val="Heading2"/>
      </w:pPr>
      <w:r>
        <w:t xml:space="preserve">Exact infographic descriptions</w:t>
      </w:r>
    </w:p>
    <w:p>
      <w:pPr>
        <w:pStyle w:val="ListParagraph"/>
        <w:numPr>
          <w:ilvl w:val="0"/>
          <w:numId w:val="2"/>
        </w:numPr>
        <w:spacing w:after="90"/>
      </w:pPr>
      <w:r>
        <w:rPr>
          <w:b/>
          <w:bCs/>
          <w:color w:val="1F4E5C"/>
        </w:rPr>
        <w:t xml:space="preserve">Instruments-evolution strip — </w:t>
      </w:r>
      <w:r>
        <w:t xml:space="preserve">A horizontal strip echoing the hero photo: five labelled stages (Horn · Bronze/Brass · Ceramic · Glass + fire · Plastic pump), each with a one-line note on what changed (suction by mouth → durability → consistency → visibility + fire method → precise, single-use control). A persistent footer line: 'The idea never changed — only the control and the safety improved.'</w:t>
      </w:r>
    </w:p>
    <w:p>
      <w:pPr>
        <w:pStyle w:val="ListParagraph"/>
        <w:numPr>
          <w:ilvl w:val="0"/>
          <w:numId w:val="2"/>
        </w:numPr>
        <w:spacing w:after="90"/>
      </w:pPr>
      <w:r>
        <w:rPr>
          <w:b/>
          <w:bCs/>
          <w:color w:val="1F4E5C"/>
        </w:rPr>
        <w:t xml:space="preserve">Humoral-theory explainer — </w:t>
      </w:r>
      <w:r>
        <w:t xml:space="preserve">A circular diagram of the four humours (blood, phlegm, yellow bile, black bile) with 'balance = health, excess = illness' at the centre, and an arrow out to 'why drawing blood/fluid seemed logical'. A prominent footnote tag, gold: 'Historical theory — overturned by modern medicine. Do not present as fact.'</w:t>
      </w:r>
    </w:p>
    <w:p>
      <w:pPr>
        <w:pStyle w:val="ListParagraph"/>
        <w:numPr>
          <w:ilvl w:val="0"/>
          <w:numId w:val="2"/>
        </w:numPr>
        <w:spacing w:after="90"/>
      </w:pPr>
      <w:r>
        <w:rPr>
          <w:b/>
          <w:bCs/>
          <w:color w:val="1F4E5C"/>
        </w:rPr>
        <w:t xml:space="preserve">'Tangled inheritance' panel — </w:t>
      </w:r>
      <w:r>
        <w:t xml:space="preserve">Two intertwined strands labelled 'cupping' and 'bloodletting', running together for ~2,000 years, then diverging at the right where 'humoral theory overturned' is marked; bloodletting strand thins to 'rare, specific medical uses today', cupping strand continues as 'traditional therapy, modern standards'. Teaches that they travelled together but are not the same.</w:t>
      </w:r>
    </w:p>
    <w:p>
      <w:pPr>
        <w:pStyle w:val="Heading2"/>
      </w:pPr>
      <w:r>
        <w:t xml:space="preserve">Exact chart descriptions</w:t>
      </w:r>
    </w:p>
    <w:p>
      <w:pPr>
        <w:pStyle w:val="ListParagraph"/>
        <w:numPr>
          <w:ilvl w:val="0"/>
          <w:numId w:val="2"/>
        </w:numPr>
        <w:spacing w:after="90"/>
      </w:pPr>
      <w:r>
        <w:rPr>
          <w:b/>
          <w:bCs/>
          <w:color w:val="1F4E5C"/>
        </w:rPr>
        <w:t xml:space="preserve">History timeline — </w:t>
      </w:r>
      <w:r>
        <w:t xml:space="preserve">A horizontal timeline, left to right: ~1550 BCE Ebers Papyrus (Egypt) · Mesopotamia/Near East · Hippocratic Greece (c. 460–370 BCE) · Galen (c. 129–216 CE) · TCM development (East Asia) · Ibn Sina / Islamic golden age (c. 980–1037 CE) · transmission to Europe (11th c. onward) · decline (18th–19th c.) · modern revival. Each tradition colour-coded; a thin band along the bottom labelled 'the technique endures' runs unbroken across the whole span while a band labelled 'the explaining theory changes' is shown switching colour at each era. The visual argument: stable technique, shifting theory.</w:t>
      </w:r>
    </w:p>
    <w:p>
      <w:pPr>
        <w:pStyle w:val="Heading2"/>
      </w:pPr>
      <w:r>
        <w:t xml:space="preserve">Exact video content</w:t>
      </w:r>
    </w:p>
    <w:p>
      <w:pPr>
        <w:pStyle w:val="ListParagraph"/>
        <w:numPr>
          <w:ilvl w:val="0"/>
          <w:numId w:val="2"/>
        </w:numPr>
        <w:spacing w:after="90"/>
      </w:pPr>
      <w:r>
        <w:rPr>
          <w:b/>
          <w:bCs/>
          <w:color w:val="1F4E5C"/>
        </w:rPr>
        <w:t xml:space="preserve">Animated timeline (optional, 90–120s) — </w:t>
      </w:r>
      <w:r>
        <w:t xml:space="preserve">Motion version of the timeline chart: the bottom 'technique endures' band draws continuously while era labels and theory-colours change above it. VO is the lesson's history narrative, condensed. Ends on the modern pump cup with the line 'same idea, safest-ever delivery'. Silent-legible with 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FF1" w:sz="2"/>
              <w:left w:val="single" w:color="1F4E5C" w:sz="18"/>
              <w:bottom w:val="single" w:color="E7EFF1" w:sz="2"/>
              <w:right w:val="single" w:color="E7EFF1" w:sz="2"/>
            </w:tcBorders>
            <w:shd w:fill="E7EFF1" w:val="clear"/>
            <w:tcMar>
              <w:top w:type="dxa" w:w="120"/>
              <w:left w:type="dxa" w:w="160"/>
              <w:bottom w:type="dxa" w:w="120"/>
              <w:right w:type="dxa" w:w="160"/>
            </w:tcMar>
          </w:tcPr>
          <w:p>
            <w:pPr>
              <w:spacing w:after="60"/>
            </w:pPr>
            <w:r>
              <w:rPr>
                <w:b/>
                <w:bCs/>
                <w:color w:val="1F4E5C"/>
              </w:rPr>
              <w:t xml:space="preserve">Research callout box (on-page asset)</w:t>
            </w:r>
          </w:p>
          <w:p>
            <w:pPr>
              <w:spacing w:after="40"/>
            </w:pPr>
            <w:r>
              <w:t xml:space="preserve">Heading: 'Antiquity is not evidence.' Body (40–60 words): a note cautioning that the great age and cross-cultural spread of cupping speak to its human appeal and lineage, not to its effectiveness for any condition; effectiveness is a separate, evidence-based question addressed in Lesson 1.4 and Module 12. 'RESEARCH' tag, pale-teal styling.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Clinical pearl (on-page asset)</w:t>
            </w:r>
          </w:p>
          <w:p>
            <w:pPr>
              <w:spacing w:after="40"/>
            </w:pPr>
            <w:r>
              <w:t xml:space="preserve">'CLINICAL PEARL: Prepare three short, true versions of cupping's history — one for the devout client, one for the sceptic, one for the sports client. Same facts, different emphasis. Never reach for exaggeration; the real history is impressive enough.'</w:t>
            </w:r>
          </w:p>
        </w:tc>
      </w:tr>
    </w:tbl>
    <w:p>
      <w:pPr>
        <w:pStyle w:val="Heading2"/>
      </w:pPr>
      <w:r>
        <w:t xml:space="preserve">Evidence summary (on-page asset)</w:t>
      </w:r>
    </w:p>
    <w:p>
      <w:pPr>
        <w:pStyle w:val="ListParagraph"/>
        <w:numPr>
          <w:ilvl w:val="1"/>
          <w:numId w:val="2"/>
        </w:numPr>
        <w:spacing w:after="70"/>
      </w:pPr>
      <w:r>
        <w:rPr>
          <w:b/>
          <w:bCs/>
        </w:rPr>
        <w:t xml:space="preserve">Historical fact (well-documented): </w:t>
      </w:r>
      <w:r>
        <w:t xml:space="preserve">Cupping appears across Egyptian, Near Eastern, Greco-Roman, East Asian, Persian, and Islamic traditions, and was mainstream in Europe for centuries.</w:t>
      </w:r>
    </w:p>
    <w:p>
      <w:pPr>
        <w:pStyle w:val="ListParagraph"/>
        <w:numPr>
          <w:ilvl w:val="1"/>
          <w:numId w:val="2"/>
        </w:numPr>
        <w:spacing w:after="70"/>
      </w:pPr>
      <w:r>
        <w:rPr>
          <w:b/>
          <w:bCs/>
        </w:rPr>
        <w:t xml:space="preserve">Interpretation (sound): </w:t>
      </w:r>
      <w:r>
        <w:t xml:space="preserve">Cupping declined in the West when humoral theory was overturned, not because the technique was tested and found uniquely harmful.</w:t>
      </w:r>
    </w:p>
    <w:p>
      <w:pPr>
        <w:pStyle w:val="ListParagraph"/>
        <w:numPr>
          <w:ilvl w:val="1"/>
          <w:numId w:val="2"/>
        </w:numPr>
        <w:spacing w:after="70"/>
      </w:pPr>
      <w:r>
        <w:rPr>
          <w:b/>
          <w:bCs/>
        </w:rPr>
        <w:t xml:space="preserve">Do not infer: </w:t>
      </w:r>
      <w:r>
        <w:t xml:space="preserve">That long use or recent revival proves clinical effectiveness.</w:t>
      </w:r>
    </w:p>
    <w:p>
      <w:pPr>
        <w:pStyle w:val="Heading2"/>
      </w:pPr>
      <w:r>
        <w:t xml:space="preserve">Knowledge-check interactions</w:t>
      </w:r>
    </w:p>
    <w:p>
      <w:pPr>
        <w:pStyle w:val="ListParagraph"/>
        <w:numPr>
          <w:ilvl w:val="0"/>
          <w:numId w:val="2"/>
        </w:numPr>
        <w:spacing w:after="90"/>
      </w:pPr>
      <w:r>
        <w:rPr>
          <w:b/>
          <w:bCs/>
          <w:color w:val="1F4E5C"/>
        </w:rPr>
        <w:t xml:space="preserve">Timeline ordering — </w:t>
      </w:r>
      <w:r>
        <w:t xml:space="preserve">Drag the traditions/figures into chronological order on a blank timeline; feedback shows the completed colour-coded timeline.</w:t>
      </w:r>
    </w:p>
    <w:p>
      <w:pPr>
        <w:pStyle w:val="ListParagraph"/>
        <w:numPr>
          <w:ilvl w:val="0"/>
          <w:numId w:val="2"/>
        </w:numPr>
        <w:spacing w:after="90"/>
      </w:pPr>
      <w:r>
        <w:rPr>
          <w:b/>
          <w:bCs/>
          <w:color w:val="1F4E5C"/>
        </w:rPr>
        <w:t xml:space="preserve">Match instrument to era — </w:t>
      </w:r>
      <w:r>
        <w:t xml:space="preserve">Pair each instrument (horn, bronze, glass, plastic pump) with what it improved.</w:t>
      </w:r>
    </w:p>
    <w:p>
      <w:pPr>
        <w:pStyle w:val="ListParagraph"/>
        <w:numPr>
          <w:ilvl w:val="0"/>
          <w:numId w:val="2"/>
        </w:numPr>
        <w:spacing w:after="90"/>
      </w:pPr>
      <w:r>
        <w:rPr>
          <w:b/>
          <w:bCs/>
          <w:color w:val="1F4E5C"/>
        </w:rPr>
        <w:t xml:space="preserve">Theory-vs-technique toggle — </w:t>
      </w:r>
      <w:r>
        <w:t xml:space="preserve">A short true/false set probing the 'enduring technique, changing theory' idea, including 'cupping was once mainstream Western medicine (T/F)'.</w:t>
      </w:r>
    </w:p>
    <w:p>
      <w:pPr>
        <w:pStyle w:val="ListParagraph"/>
        <w:numPr>
          <w:ilvl w:val="0"/>
          <w:numId w:val="2"/>
        </w:numPr>
        <w:spacing w:after="90"/>
      </w:pPr>
      <w:r>
        <w:rPr>
          <w:b/>
          <w:bCs/>
          <w:color w:val="1F4E5C"/>
        </w:rPr>
        <w:t xml:space="preserve">Reframe-the-phrase entry — </w:t>
      </w:r>
      <w:r>
        <w:t xml:space="preserve">Students rewrite a humoral-flavoured phrase ('removes stagnant blood') into honest modern language; sample model answer revealed.</w:t>
      </w:r>
    </w:p>
    <w:p>
      <w:r>
        <w:br w:type="page"/>
      </w:r>
    </w:p>
    <w:p>
      <w:pPr>
        <w:pStyle w:val="Heading1"/>
      </w:pPr>
      <w:r>
        <w:t xml:space="preserve">Lesson 1.3 — Hijama in the Islamic Tradition</w:t>
      </w:r>
    </w:p>
    <w:p>
      <w:pPr>
        <w:pStyle w:val="Heading2"/>
      </w:pPr>
      <w:r>
        <w:t xml:space="preserve">Visual assets required</w:t>
      </w:r>
    </w:p>
    <w:p>
      <w:pPr>
        <w:pStyle w:val="ListParagraph"/>
        <w:numPr>
          <w:ilvl w:val="0"/>
          <w:numId w:val="2"/>
        </w:numPr>
      </w:pPr>
      <w:r>
        <w:t xml:space="preserve">Lesson hero image (scholarship/study setting).</w:t>
      </w:r>
    </w:p>
    <w:p>
      <w:pPr>
        <w:pStyle w:val="ListParagraph"/>
        <w:numPr>
          <w:ilvl w:val="0"/>
          <w:numId w:val="2"/>
        </w:numPr>
      </w:pPr>
      <w:r>
        <w:t xml:space="preserve">Islamic-golden-age physicians infographic.</w:t>
      </w:r>
    </w:p>
    <w:p>
      <w:pPr>
        <w:pStyle w:val="ListParagraph"/>
        <w:numPr>
          <w:ilvl w:val="0"/>
          <w:numId w:val="2"/>
        </w:numPr>
      </w:pPr>
      <w:r>
        <w:t xml:space="preserve">Tibb an-Nabawi 'two kinds of significance' infographic.</w:t>
      </w:r>
    </w:p>
    <w:p>
      <w:pPr>
        <w:pStyle w:val="ListParagraph"/>
        <w:numPr>
          <w:ilvl w:val="0"/>
          <w:numId w:val="2"/>
        </w:numPr>
      </w:pPr>
      <w:r>
        <w:t xml:space="preserve">Transmission-to-Europe map/flow.</w:t>
      </w:r>
    </w:p>
    <w:p>
      <w:pPr>
        <w:pStyle w:val="ListParagraph"/>
        <w:numPr>
          <w:ilvl w:val="0"/>
          <w:numId w:val="2"/>
        </w:numPr>
      </w:pPr>
      <w:r>
        <w:t xml:space="preserve">Sunnah-timing reference chart.</w:t>
      </w:r>
    </w:p>
    <w:p>
      <w:pPr>
        <w:pStyle w:val="ListParagraph"/>
        <w:numPr>
          <w:ilvl w:val="0"/>
          <w:numId w:val="2"/>
        </w:numPr>
      </w:pPr>
      <w:r>
        <w:t xml:space="preserve">'Misconceptions to address' infographic.</w:t>
      </w:r>
    </w:p>
    <w:p>
      <w:pPr>
        <w:pStyle w:val="Heading2"/>
      </w:pPr>
      <w:r>
        <w:t xml:space="preserve">Exact image descriptions</w:t>
      </w:r>
    </w:p>
    <w:p>
      <w:pPr>
        <w:pStyle w:val="ListParagraph"/>
        <w:numPr>
          <w:ilvl w:val="0"/>
          <w:numId w:val="2"/>
        </w:numPr>
        <w:spacing w:after="90"/>
      </w:pPr>
      <w:r>
        <w:rPr>
          <w:b/>
          <w:bCs/>
          <w:color w:val="1F4E5C"/>
        </w:rPr>
        <w:t xml:space="preserve">Scholarship hero — </w:t>
      </w:r>
      <w:r>
        <w:t xml:space="preserve">A warm, library-toned photograph: a practitioner reading a bound reference text at a wooden desk, a notebook and a modern clinical reference beside it, soft window light. Signals serious study and the marriage of heritage and modern practice. Respectful and understated; no staged 'mystique'.</w:t>
      </w:r>
    </w:p>
    <w:p>
      <w:pPr>
        <w:pStyle w:val="ListParagraph"/>
        <w:numPr>
          <w:ilvl w:val="0"/>
          <w:numId w:val="2"/>
        </w:numPr>
        <w:spacing w:after="90"/>
      </w:pPr>
      <w:r>
        <w:rPr>
          <w:b/>
          <w:bCs/>
          <w:color w:val="1F4E5C"/>
        </w:rPr>
        <w:t xml:space="preserve">Heritage details — </w:t>
      </w:r>
      <w:r>
        <w:t xml:space="preserve">Rights-cleared or commissioned detail shots of classical medical manuscript pages and fine calligraphy, used reverently as section openers. Confirm licensing before use.</w:t>
      </w:r>
    </w:p>
    <w:p>
      <w:pPr>
        <w:pStyle w:val="Heading2"/>
      </w:pPr>
      <w:r>
        <w:t xml:space="preserve">Exact infographic descriptions</w:t>
      </w:r>
    </w:p>
    <w:p>
      <w:pPr>
        <w:pStyle w:val="ListParagraph"/>
        <w:numPr>
          <w:ilvl w:val="0"/>
          <w:numId w:val="2"/>
        </w:numPr>
        <w:spacing w:after="90"/>
      </w:pPr>
      <w:r>
        <w:rPr>
          <w:b/>
          <w:bCs/>
          <w:color w:val="1F4E5C"/>
        </w:rPr>
        <w:t xml:space="preserve">Physicians of the golden age — </w:t>
      </w:r>
      <w:r>
        <w:t xml:space="preserve">Three portraits-as-medallions (illustrated, not invented likenesses — stylised silhouettes/monograms to avoid fabricating faces): al-Razi (c. 854–925), Ibn Sina (c. 980–1037), Ibn al-Qayyim (1292–1350). Under each: one line on their contribution (clinical observation / the Canon / Al-Tibb al-Nabawi). Footer: 'A serious scholarly heritage — a stronger foundation for trust than any exaggerated claim.'</w:t>
      </w:r>
    </w:p>
    <w:p>
      <w:pPr>
        <w:pStyle w:val="ListParagraph"/>
        <w:numPr>
          <w:ilvl w:val="0"/>
          <w:numId w:val="2"/>
        </w:numPr>
        <w:spacing w:after="90"/>
      </w:pPr>
      <w:r>
        <w:rPr>
          <w:b/>
          <w:bCs/>
          <w:color w:val="1F4E5C"/>
        </w:rPr>
        <w:t xml:space="preserve">'Two kinds of significance' — </w:t>
      </w:r>
      <w:r>
        <w:t xml:space="preserve">Two side-by-side panels. Left (teal) 'Devotional significance — answerable to the tradition'. Right (gold) 'Clinical evidence — answerable to science'. A bold rule between them labelled 'hold both — never collapse one into the other'. Beneath: the error to avoid — 'because it is in the Sunnah, it must be medically proven for X' marked with a red cross.</w:t>
      </w:r>
    </w:p>
    <w:p>
      <w:pPr>
        <w:pStyle w:val="ListParagraph"/>
        <w:numPr>
          <w:ilvl w:val="0"/>
          <w:numId w:val="2"/>
        </w:numPr>
        <w:spacing w:after="90"/>
      </w:pPr>
      <w:r>
        <w:rPr>
          <w:b/>
          <w:bCs/>
          <w:color w:val="1F4E5C"/>
        </w:rPr>
        <w:t xml:space="preserve">Misconceptions panel — </w:t>
      </w:r>
      <w:r>
        <w:t xml:space="preserve">Three rows, each 'Common belief → Honest reframe': (1) 'Sunnah = cures everyone' → 'recommended, but screening and safety still apply'; (2) 'blood appearance shows your toxins/health' → 'folklore, not diagnostic — do not endorse'; (3) 'more blood/cups/sessions = more benefit' → 'restraint and correct dosing are skill'. Each reframe in the gold-accent style.</w:t>
      </w:r>
    </w:p>
    <w:p>
      <w:pPr>
        <w:pStyle w:val="Heading2"/>
      </w:pPr>
      <w:r>
        <w:t xml:space="preserve">Exact chart descriptions</w:t>
      </w:r>
    </w:p>
    <w:p>
      <w:pPr>
        <w:pStyle w:val="ListParagraph"/>
        <w:numPr>
          <w:ilvl w:val="0"/>
          <w:numId w:val="2"/>
        </w:numPr>
        <w:spacing w:after="90"/>
      </w:pPr>
      <w:r>
        <w:rPr>
          <w:b/>
          <w:bCs/>
          <w:color w:val="1F4E5C"/>
        </w:rPr>
        <w:t xml:space="preserve">Sunnah-timing reference — </w:t>
      </w:r>
      <w:r>
        <w:t xml:space="preserve">A clean lunar-month dial or calendar strip highlighting the traditionally cited days (e.g. 17th, 19th, 21st). Prominent banner across it: 'Tradition recommends certain days — it does not require cupping a person who should not be cupped today.' The clinical-override message is part of the graphic, not a footnote.</w:t>
      </w:r>
    </w:p>
    <w:p>
      <w:pPr>
        <w:pStyle w:val="ListParagraph"/>
        <w:numPr>
          <w:ilvl w:val="0"/>
          <w:numId w:val="2"/>
        </w:numPr>
        <w:spacing w:after="90"/>
      </w:pPr>
      <w:r>
        <w:rPr>
          <w:b/>
          <w:bCs/>
          <w:color w:val="1F4E5C"/>
        </w:rPr>
        <w:t xml:space="preserve">Transmission flow (optional chart form) — </w:t>
      </w:r>
      <w:r>
        <w:t xml:space="preserve">A directional flow: Greco-Roman texts → preserved/extended in the Islamic world → translated to Latin (11th c.+) → taught in European universities → standard European practice for centuries. Reinforces 'cupping was Western medicine, via Islamic scholarship'.</w:t>
      </w:r>
    </w:p>
    <w:p>
      <w:pPr>
        <w:pStyle w:val="Heading2"/>
      </w:pPr>
      <w:r>
        <w:t xml:space="preserve">Exact video content</w:t>
      </w:r>
    </w:p>
    <w:p>
      <w:pPr>
        <w:pStyle w:val="ListParagraph"/>
        <w:numPr>
          <w:ilvl w:val="0"/>
          <w:numId w:val="2"/>
        </w:numPr>
        <w:spacing w:after="90"/>
      </w:pPr>
      <w:r>
        <w:rPr>
          <w:b/>
          <w:bCs/>
          <w:color w:val="1F4E5C"/>
        </w:rPr>
        <w:t xml:space="preserve">Scholar / clinical-lead conversation (8–10 min) — </w:t>
      </w:r>
      <w:r>
        <w:t xml:space="preserve">A two-person filmed dialogue in the library/clinic setting. Chapters: (1) Hijama's place in the Sunnah, handled with care and explicit deferral of detailed grading to Module 2; (2) the great physicians and what they actually contributed; (3) transmission to Europe; (4) the working posture — honour the tradition, keep claims honest; (5) handling client misconceptions kindly. Lower-thirds name speakers and roles. Measured, warm,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FF1" w:sz="2"/>
              <w:left w:val="single" w:color="1F4E5C" w:sz="18"/>
              <w:bottom w:val="single" w:color="E7EFF1" w:sz="2"/>
              <w:right w:val="single" w:color="E7EFF1" w:sz="2"/>
            </w:tcBorders>
            <w:shd w:fill="E7EFF1" w:val="clear"/>
            <w:tcMar>
              <w:top w:type="dxa" w:w="120"/>
              <w:left w:type="dxa" w:w="160"/>
              <w:bottom w:type="dxa" w:w="120"/>
              <w:right w:type="dxa" w:w="160"/>
            </w:tcMar>
          </w:tcPr>
          <w:p>
            <w:pPr>
              <w:spacing w:after="60"/>
            </w:pPr>
            <w:r>
              <w:rPr>
                <w:b/>
                <w:bCs/>
                <w:color w:val="1F4E5C"/>
              </w:rPr>
              <w:t xml:space="preserve">Research callout box (on-page asset)</w:t>
            </w:r>
          </w:p>
          <w:p>
            <w:pPr>
              <w:spacing w:after="40"/>
            </w:pPr>
            <w:r>
              <w:t xml:space="preserve">Heading: 'Religious significance and clinical evidence are different questions.' Body (40–60 words): a note that the presence of Prophetic guidance is religiously meaningful for believers but is not, by itself, a clinical evidence base; the two are held side by side and never substituted for one another. 'RESEARCH / ETHICS' 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Clinical pearl (on-page asset)</w:t>
            </w:r>
          </w:p>
          <w:p>
            <w:pPr>
              <w:spacing w:after="40"/>
            </w:pPr>
            <w:r>
              <w:t xml:space="preserve">'CLINICAL PEARL: The most common misconception you will meet is that the appearance of cupping blood reveals disease or “toxins.” Decide now you will never endorse it. A calm, kind, accurate correction protects both your client and your integrity.'</w:t>
            </w:r>
          </w:p>
        </w:tc>
      </w:tr>
    </w:tbl>
    <w:p>
      <w:pPr>
        <w:pStyle w:val="Heading2"/>
      </w:pPr>
      <w:r>
        <w:t xml:space="preserve">Evidence summary (on-page asset)</w:t>
      </w:r>
    </w:p>
    <w:p>
      <w:pPr>
        <w:pStyle w:val="ListParagraph"/>
        <w:numPr>
          <w:ilvl w:val="1"/>
          <w:numId w:val="2"/>
        </w:numPr>
        <w:spacing w:after="70"/>
      </w:pPr>
      <w:r>
        <w:rPr>
          <w:b/>
          <w:bCs/>
        </w:rPr>
        <w:t xml:space="preserve">Tradition (well-attested): </w:t>
      </w:r>
      <w:r>
        <w:t xml:space="preserve">Hijama is reported in the Sunnah and was studied by leading physicians of the Islamic golden age; it reached Europe through their works.</w:t>
      </w:r>
    </w:p>
    <w:p>
      <w:pPr>
        <w:pStyle w:val="ListParagraph"/>
        <w:numPr>
          <w:ilvl w:val="1"/>
          <w:numId w:val="2"/>
        </w:numPr>
        <w:spacing w:after="70"/>
      </w:pPr>
      <w:r>
        <w:rPr>
          <w:b/>
          <w:bCs/>
        </w:rPr>
        <w:t xml:space="preserve">Boundary (essential): </w:t>
      </w:r>
      <w:r>
        <w:t xml:space="preserve">Religious recommendation does not remove the need for screening, consent, and honest claims, nor override clinical fitness on a given day.</w:t>
      </w:r>
    </w:p>
    <w:p>
      <w:pPr>
        <w:pStyle w:val="ListParagraph"/>
        <w:numPr>
          <w:ilvl w:val="1"/>
          <w:numId w:val="2"/>
        </w:numPr>
        <w:spacing w:after="70"/>
      </w:pPr>
      <w:r>
        <w:rPr>
          <w:b/>
          <w:bCs/>
        </w:rPr>
        <w:t xml:space="preserve">Do not claim: </w:t>
      </w:r>
      <w:r>
        <w:t xml:space="preserve">That blood appearance is diagnostic, or that Sunnah status proves medical efficacy for specific conditions.</w:t>
      </w:r>
    </w:p>
    <w:p>
      <w:pPr>
        <w:pStyle w:val="Heading2"/>
      </w:pPr>
      <w:r>
        <w:t xml:space="preserve">Knowledge-check interactions</w:t>
      </w:r>
    </w:p>
    <w:p>
      <w:pPr>
        <w:pStyle w:val="ListParagraph"/>
        <w:numPr>
          <w:ilvl w:val="0"/>
          <w:numId w:val="2"/>
        </w:numPr>
        <w:spacing w:after="90"/>
      </w:pPr>
      <w:r>
        <w:rPr>
          <w:b/>
          <w:bCs/>
          <w:color w:val="1F4E5C"/>
        </w:rPr>
        <w:t xml:space="preserve">Match physician to contribution — </w:t>
      </w:r>
      <w:r>
        <w:t xml:space="preserve">Pair al-Razi / Ibn Sina / Ibn al-Qayyim with their works/contributions.</w:t>
      </w:r>
    </w:p>
    <w:p>
      <w:pPr>
        <w:pStyle w:val="ListParagraph"/>
        <w:numPr>
          <w:ilvl w:val="0"/>
          <w:numId w:val="2"/>
        </w:numPr>
        <w:spacing w:after="90"/>
      </w:pPr>
      <w:r>
        <w:rPr>
          <w:b/>
          <w:bCs/>
          <w:color w:val="1F4E5C"/>
        </w:rPr>
        <w:t xml:space="preserve">Significance sorter — </w:t>
      </w:r>
      <w:r>
        <w:t xml:space="preserve">Place sample statements onto the 'devotional' or 'clinical evidence' panel; mixed statements teach the 'do not collapse' rule.</w:t>
      </w:r>
    </w:p>
    <w:p>
      <w:pPr>
        <w:pStyle w:val="ListParagraph"/>
        <w:numPr>
          <w:ilvl w:val="0"/>
          <w:numId w:val="2"/>
        </w:numPr>
        <w:spacing w:after="90"/>
      </w:pPr>
      <w:r>
        <w:rPr>
          <w:b/>
          <w:bCs/>
          <w:color w:val="1F4E5C"/>
        </w:rPr>
        <w:t xml:space="preserve">Sunnah-timing scenario — </w:t>
      </w:r>
      <w:r>
        <w:t xml:space="preserve">Branching item: a client requests treatment on a Sunnah day but presents a contraindication — choose the response. Safe choice = honour the day where possible but decline today on clinical grounds.</w:t>
      </w:r>
    </w:p>
    <w:p>
      <w:pPr>
        <w:pStyle w:val="ListParagraph"/>
        <w:numPr>
          <w:ilvl w:val="0"/>
          <w:numId w:val="2"/>
        </w:numPr>
        <w:spacing w:after="90"/>
      </w:pPr>
      <w:r>
        <w:rPr>
          <w:b/>
          <w:bCs/>
          <w:color w:val="1F4E5C"/>
        </w:rPr>
        <w:t xml:space="preserve">Misconception reframe entry — </w:t>
      </w:r>
      <w:r>
        <w:t xml:space="preserve">Student writes a kind, accurate response to the 'blood shows my toxins' belief; model answer revealed.</w:t>
      </w:r>
    </w:p>
    <w:p>
      <w:r>
        <w:br w:type="page"/>
      </w:r>
    </w:p>
    <w:p>
      <w:pPr>
        <w:pStyle w:val="Heading1"/>
      </w:pPr>
      <w:r>
        <w:t xml:space="preserve">Lesson 1.4 — The Modern Practitioner: Identity, Scope &amp; Evidence</w:t>
      </w:r>
    </w:p>
    <w:p>
      <w:pPr>
        <w:pStyle w:val="Heading2"/>
      </w:pPr>
      <w:r>
        <w:t xml:space="preserve">Visual assets required</w:t>
      </w:r>
    </w:p>
    <w:p>
      <w:pPr>
        <w:pStyle w:val="ListParagraph"/>
        <w:numPr>
          <w:ilvl w:val="0"/>
          <w:numId w:val="2"/>
        </w:numPr>
      </w:pPr>
      <w:r>
        <w:t xml:space="preserve">Lesson hero image (the modern practitioner).</w:t>
      </w:r>
    </w:p>
    <w:p>
      <w:pPr>
        <w:pStyle w:val="ListParagraph"/>
        <w:numPr>
          <w:ilvl w:val="0"/>
          <w:numId w:val="2"/>
        </w:numPr>
      </w:pPr>
      <w:r>
        <w:t xml:space="preserve">Professional-identity infographic.</w:t>
      </w:r>
    </w:p>
    <w:p>
      <w:pPr>
        <w:pStyle w:val="ListParagraph"/>
        <w:numPr>
          <w:ilvl w:val="0"/>
          <w:numId w:val="2"/>
        </w:numPr>
      </w:pPr>
      <w:r>
        <w:t xml:space="preserve">Scope: 'may do / must refer / must never claim' infographic.</w:t>
      </w:r>
    </w:p>
    <w:p>
      <w:pPr>
        <w:pStyle w:val="ListParagraph"/>
        <w:numPr>
          <w:ilvl w:val="0"/>
          <w:numId w:val="2"/>
        </w:numPr>
      </w:pPr>
      <w:r>
        <w:t xml:space="preserve">UK regulatory-landscape infographic.</w:t>
      </w:r>
    </w:p>
    <w:p>
      <w:pPr>
        <w:pStyle w:val="ListParagraph"/>
        <w:numPr>
          <w:ilvl w:val="0"/>
          <w:numId w:val="2"/>
        </w:numPr>
      </w:pPr>
      <w:r>
        <w:t xml:space="preserve">Evidence-base research visualisation.</w:t>
      </w:r>
    </w:p>
    <w:p>
      <w:pPr>
        <w:pStyle w:val="ListParagraph"/>
        <w:numPr>
          <w:ilvl w:val="0"/>
          <w:numId w:val="2"/>
        </w:numPr>
      </w:pPr>
      <w:r>
        <w:t xml:space="preserve">'Alongside, not instead of' infographic.</w:t>
      </w:r>
    </w:p>
    <w:p>
      <w:pPr>
        <w:pStyle w:val="ListParagraph"/>
        <w:numPr>
          <w:ilvl w:val="0"/>
          <w:numId w:val="2"/>
        </w:numPr>
      </w:pPr>
      <w:r>
        <w:t xml:space="preserve">Brand-values panel.</w:t>
      </w:r>
    </w:p>
    <w:p>
      <w:pPr>
        <w:pStyle w:val="Heading2"/>
      </w:pPr>
      <w:r>
        <w:t xml:space="preserve">Exact image descriptions</w:t>
      </w:r>
    </w:p>
    <w:p>
      <w:pPr>
        <w:pStyle w:val="ListParagraph"/>
        <w:numPr>
          <w:ilvl w:val="0"/>
          <w:numId w:val="2"/>
        </w:numPr>
        <w:spacing w:after="90"/>
      </w:pPr>
      <w:r>
        <w:rPr>
          <w:b/>
          <w:bCs/>
          <w:color w:val="1F4E5C"/>
        </w:rPr>
        <w:t xml:space="preserve">Modern-practitioner hero — </w:t>
      </w:r>
      <w:r>
        <w:t xml:space="preserve">A calm, confident half-length portrait of a practitioner in clean professional attire in a modern treatment room, making steady eye contact — the embodiment of 'allied-health-professional identity'. Warm, even light. This image should feel trustworthy enough that a prospective student pictures themselves becoming this person.</w:t>
      </w:r>
    </w:p>
    <w:p>
      <w:pPr>
        <w:pStyle w:val="ListParagraph"/>
        <w:numPr>
          <w:ilvl w:val="0"/>
          <w:numId w:val="2"/>
        </w:numPr>
        <w:spacing w:after="90"/>
      </w:pPr>
      <w:r>
        <w:rPr>
          <w:b/>
          <w:bCs/>
          <w:color w:val="1F4E5C"/>
        </w:rPr>
        <w:t xml:space="preserve">Boundary scenes — </w:t>
      </w:r>
      <w:r>
        <w:t xml:space="preserve">Two photographs: (1) the practitioner encouraging a client to see their GP (handing a referral note) — modelling 'refer is competence'; (2) maintaining dignity and a chaperone arrangement during set-up.</w:t>
      </w:r>
    </w:p>
    <w:p>
      <w:pPr>
        <w:pStyle w:val="Heading2"/>
      </w:pPr>
      <w:r>
        <w:t xml:space="preserve">Exact infographic descriptions</w:t>
      </w:r>
    </w:p>
    <w:p>
      <w:pPr>
        <w:pStyle w:val="ListParagraph"/>
        <w:numPr>
          <w:ilvl w:val="0"/>
          <w:numId w:val="2"/>
        </w:numPr>
        <w:spacing w:after="90"/>
      </w:pPr>
      <w:r>
        <w:rPr>
          <w:b/>
          <w:bCs/>
          <w:color w:val="1F4E5C"/>
        </w:rPr>
        <w:t xml:space="preserve">Professional-identity infographic — </w:t>
      </w:r>
      <w:r>
        <w:t xml:space="preserve">A central figure ringed by the habits that define the modern practitioner: keeps records · obtains consent · screens for risk · maintains hygiene · refers appropriately · keeps learning · protects dignity. Caption: 'Closer to an allied health professional than a hobbyist or a healer.'</w:t>
      </w:r>
    </w:p>
    <w:p>
      <w:pPr>
        <w:pStyle w:val="ListParagraph"/>
        <w:numPr>
          <w:ilvl w:val="0"/>
          <w:numId w:val="2"/>
        </w:numPr>
        <w:spacing w:after="90"/>
      </w:pPr>
      <w:r>
        <w:rPr>
          <w:b/>
          <w:bCs/>
          <w:color w:val="1F4E5C"/>
        </w:rPr>
        <w:t xml:space="preserve">Scope triptych — </w:t>
      </w:r>
      <w:r>
        <w:t xml:space="preserve">Three columns: 'MAY DO' (teal), 'MUST REFER' (gold), 'MUST NEVER CLAIM' (red). Populated from the lesson: may take history/screen/consent/perform cupping/aftercare/records; must refer red flags / out-of-competence / unsafe contraindications; must never diagnose / cure / detox / promise outcomes. The red column doubles as the compliance backbone for Module 16.</w:t>
      </w:r>
    </w:p>
    <w:p>
      <w:pPr>
        <w:pStyle w:val="ListParagraph"/>
        <w:numPr>
          <w:ilvl w:val="0"/>
          <w:numId w:val="2"/>
        </w:numPr>
        <w:spacing w:after="90"/>
      </w:pPr>
      <w:r>
        <w:rPr>
          <w:b/>
          <w:bCs/>
          <w:color w:val="1F4E5C"/>
        </w:rPr>
        <w:t xml:space="preserve">UK regulatory landscape — </w:t>
      </w:r>
      <w:r>
        <w:t xml:space="preserve">A two-tier visual. Tier 1: 'As a clinician — lightly regulated' (no statutory register / protected title for Hijama). Tier 2: 'As a skin-piercing business — meaningfully regulated' (local-authority special-treatment/skin-piercing registration; premises inspection; varies by area). Banner: 'Less regulation is a reason to hold a HIGHER voluntary standard.' Footer directs to verify locally (cross-ref M15).</w:t>
      </w:r>
    </w:p>
    <w:p>
      <w:pPr>
        <w:pStyle w:val="ListParagraph"/>
        <w:numPr>
          <w:ilvl w:val="0"/>
          <w:numId w:val="2"/>
        </w:numPr>
        <w:spacing w:after="90"/>
      </w:pPr>
      <w:r>
        <w:rPr>
          <w:b/>
          <w:bCs/>
          <w:color w:val="1F4E5C"/>
        </w:rPr>
        <w:t xml:space="preserve">'Alongside, not instead of' — </w:t>
      </w:r>
      <w:r>
        <w:t xml:space="preserve">A simple visual of the practitioner's lane running parallel to mainstream healthcare, with explicit 'never replaces' signage and a red-flag off-ramp to 'refer to doctor'.</w:t>
      </w:r>
    </w:p>
    <w:p>
      <w:pPr>
        <w:pStyle w:val="ListParagraph"/>
        <w:numPr>
          <w:ilvl w:val="0"/>
          <w:numId w:val="2"/>
        </w:numPr>
        <w:spacing w:after="90"/>
      </w:pPr>
      <w:r>
        <w:rPr>
          <w:b/>
          <w:bCs/>
          <w:color w:val="1F4E5C"/>
        </w:rPr>
        <w:t xml:space="preserve">Brand-values panel — </w:t>
      </w:r>
      <w:r>
        <w:t xml:space="preserve">Four pillars — Dignity · Safety · Honesty · Excellence — each with the concrete behaviour beneath it. The visual anchor for the whole programme's promise; reused on the certificate and marketing-style guide.</w:t>
      </w:r>
    </w:p>
    <w:p>
      <w:pPr>
        <w:pStyle w:val="Heading2"/>
      </w:pPr>
      <w:r>
        <w:t xml:space="preserve">Exact chart descriptions</w:t>
      </w:r>
    </w:p>
    <w:p>
      <w:pPr>
        <w:pStyle w:val="ListParagraph"/>
        <w:numPr>
          <w:ilvl w:val="0"/>
          <w:numId w:val="2"/>
        </w:numPr>
        <w:spacing w:after="90"/>
      </w:pPr>
      <w:r>
        <w:rPr>
          <w:b/>
          <w:bCs/>
          <w:color w:val="1F4E5C"/>
        </w:rPr>
        <w:t xml:space="preserve">Evidence-base research visualisation [CLINICAL SIGN-OFF for accuracy] — </w:t>
      </w:r>
      <w:r>
        <w:t xml:space="preserve">A careful, honest visualisation of the cupping evidence landscape. Recommended form: a horizontal panel grouping application areas (e.g. certain musculoskeletal/pain complaints vs broader wellness claims), each with a study-quality indicator (low / moderate) and a plain-language verdict ('some supportive but limited-quality evidence' vs 'insufficient evidence'). Crucially, the graphic encodes study QUALITY, not just direction of effect, and carries the caption 'limited-quality evidence means the studies have weaknesses — not that the therapy is proven useless, and not that it is proven effective.' Source-cited and dated; data stored so it can be refreshed.</w:t>
      </w:r>
    </w:p>
    <w:p>
      <w:pPr>
        <w:pStyle w:val="ListParagraph"/>
        <w:numPr>
          <w:ilvl w:val="0"/>
          <w:numId w:val="2"/>
        </w:numPr>
        <w:spacing w:after="90"/>
      </w:pPr>
      <w:r>
        <w:rPr>
          <w:b/>
          <w:bCs/>
          <w:color w:val="1F4E5C"/>
        </w:rPr>
        <w:t xml:space="preserve">Effect-vs-context bar — </w:t>
      </w:r>
      <w:r>
        <w:t xml:space="preserve">An illustrative bar separating 'specific effect of cupping' from 'contextual effects (attention, touch, expectation, therapeutic relationship)', teaching why blinding is hard and why honesty about uncertainty matters. Labelled illustrative.</w:t>
      </w:r>
    </w:p>
    <w:p>
      <w:pPr>
        <w:pStyle w:val="Heading2"/>
      </w:pPr>
      <w:r>
        <w:t xml:space="preserve">Exact video content</w:t>
      </w:r>
    </w:p>
    <w:p>
      <w:pPr>
        <w:pStyle w:val="ListParagraph"/>
        <w:numPr>
          <w:ilvl w:val="0"/>
          <w:numId w:val="2"/>
        </w:numPr>
        <w:spacing w:after="90"/>
      </w:pPr>
      <w:r>
        <w:rPr>
          <w:b/>
          <w:bCs/>
          <w:color w:val="1F4E5C"/>
        </w:rPr>
        <w:t xml:space="preserve">Evidence masterclass (8–10 min) — </w:t>
      </w:r>
      <w:r>
        <w:t xml:space="preserve">Clinical lead to camera with the evidence visualisation on screen. Chapters: (1) what the research does and does not show; (2) why cupping trials are hard to run well (blinding, sham cupping, contextual effects); (3) the green/amber/red discipline applied live; (4) the model client scripts for 'how does it work?' and 'does it work?'. Tone: confident, never apologetic, never overselling. The video that most defines the programme's intellectual credibility.</w:t>
      </w:r>
    </w:p>
    <w:p>
      <w:pPr>
        <w:pStyle w:val="ListParagraph"/>
        <w:numPr>
          <w:ilvl w:val="0"/>
          <w:numId w:val="2"/>
        </w:numPr>
        <w:spacing w:after="90"/>
      </w:pPr>
      <w:r>
        <w:rPr>
          <w:b/>
          <w:bCs/>
          <w:color w:val="1F4E5C"/>
        </w:rPr>
        <w:t xml:space="preserve">Professional-identity / boundaries piece (5–6 min) — </w:t>
      </w:r>
      <w:r>
        <w:t xml:space="preserve">Vignette-driven: the flattered practitioner asked to replace medication (correct decline + refer); the kindness-pressure boundary case. Models warm, unmovable professionalism.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FF1" w:sz="2"/>
              <w:left w:val="single" w:color="1F4E5C" w:sz="18"/>
              <w:bottom w:val="single" w:color="E7EFF1" w:sz="2"/>
              <w:right w:val="single" w:color="E7EFF1" w:sz="2"/>
            </w:tcBorders>
            <w:shd w:fill="E7EFF1" w:val="clear"/>
            <w:tcMar>
              <w:top w:type="dxa" w:w="120"/>
              <w:left w:type="dxa" w:w="160"/>
              <w:bottom w:type="dxa" w:w="120"/>
              <w:right w:type="dxa" w:w="160"/>
            </w:tcMar>
          </w:tcPr>
          <w:p>
            <w:pPr>
              <w:spacing w:after="60"/>
            </w:pPr>
            <w:r>
              <w:rPr>
                <w:b/>
                <w:bCs/>
                <w:color w:val="1F4E5C"/>
              </w:rPr>
              <w:t xml:space="preserve">Research callout box (on-page asset)</w:t>
            </w:r>
          </w:p>
          <w:p>
            <w:pPr>
              <w:spacing w:after="40"/>
            </w:pPr>
            <w:r>
              <w:t xml:space="preserve">Heading: 'What systematic reviews actually conclude.' Body (40–60 words): an honest note that reviews tend to find encouraging signals for some pain conditions alongside low-to-moderate study quality and a recurring 'firm conclusions cannot yet be drawn' — and that this is a description of study limitations, not a verdict of uselessness. Source-cited. 'RESEARCH' 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Clinical pearl (on-page asset)</w:t>
            </w:r>
          </w:p>
          <w:p>
            <w:pPr>
              <w:spacing w:after="40"/>
            </w:pPr>
            <w:r>
              <w:t xml:space="preserve">'CLINICAL PEARL: “Alongside, not instead of.” If a client has stopped prescribed treatment hoping cupping will replace it, do not feel flattered — feel concerned. Express concern, decline to endorse the decision, and encourage them to speak to their doctor.'</w:t>
            </w:r>
          </w:p>
        </w:tc>
      </w:tr>
    </w:tbl>
    <w:p>
      <w:pPr>
        <w:pStyle w:val="Heading2"/>
      </w:pPr>
      <w:r>
        <w:t xml:space="preserve">Evidence summary (on-page asset)</w:t>
      </w:r>
    </w:p>
    <w:p>
      <w:pPr>
        <w:pStyle w:val="ListParagraph"/>
        <w:numPr>
          <w:ilvl w:val="1"/>
          <w:numId w:val="2"/>
        </w:numPr>
        <w:spacing w:after="70"/>
      </w:pPr>
      <w:r>
        <w:rPr>
          <w:b/>
          <w:bCs/>
        </w:rPr>
        <w:t xml:space="preserve">Green (state plainly): </w:t>
      </w:r>
      <w:r>
        <w:t xml:space="preserve">Suction has observable local effects; many clients report relief of muscular tension; cupping can sit alongside medical care.</w:t>
      </w:r>
    </w:p>
    <w:p>
      <w:pPr>
        <w:pStyle w:val="ListParagraph"/>
        <w:numPr>
          <w:ilvl w:val="1"/>
          <w:numId w:val="2"/>
        </w:numPr>
        <w:spacing w:after="70"/>
      </w:pPr>
      <w:r>
        <w:rPr>
          <w:b/>
          <w:bCs/>
        </w:rPr>
        <w:t xml:space="preserve">Amber (with caveats): </w:t>
      </w:r>
      <w:r>
        <w:t xml:space="preserve">Some research suggests benefit for certain pain conditions; evidence is limited in quality — use 'some research suggests', never 'research proves'.</w:t>
      </w:r>
    </w:p>
    <w:p>
      <w:pPr>
        <w:pStyle w:val="ListParagraph"/>
        <w:numPr>
          <w:ilvl w:val="1"/>
          <w:numId w:val="2"/>
        </w:numPr>
        <w:spacing w:after="70"/>
      </w:pPr>
      <w:r>
        <w:rPr>
          <w:b/>
          <w:bCs/>
        </w:rPr>
        <w:t xml:space="preserve">Red (never): </w:t>
      </w:r>
      <w:r>
        <w:t xml:space="preserve">Diagnose, cure, prevent named diseases, remove 'toxins', or guarantee outcomes — unethical and likely unlawful in advertising.</w:t>
      </w:r>
    </w:p>
    <w:p>
      <w:pPr>
        <w:pStyle w:val="Heading2"/>
      </w:pPr>
      <w:r>
        <w:t xml:space="preserve">Knowledge-check interactions</w:t>
      </w:r>
    </w:p>
    <w:p>
      <w:pPr>
        <w:pStyle w:val="ListParagraph"/>
        <w:numPr>
          <w:ilvl w:val="0"/>
          <w:numId w:val="2"/>
        </w:numPr>
        <w:spacing w:after="90"/>
      </w:pPr>
      <w:r>
        <w:rPr>
          <w:b/>
          <w:bCs/>
          <w:color w:val="1F4E5C"/>
        </w:rPr>
        <w:t xml:space="preserve">Scope triptych sorter — </w:t>
      </w:r>
      <w:r>
        <w:t xml:space="preserve">Drag activities/claims into MAY DO / MUST REFER / MUST NEVER CLAIM; red-column errors trigger a compliance-styled correction.</w:t>
      </w:r>
    </w:p>
    <w:p>
      <w:pPr>
        <w:pStyle w:val="ListParagraph"/>
        <w:numPr>
          <w:ilvl w:val="0"/>
          <w:numId w:val="2"/>
        </w:numPr>
        <w:spacing w:after="90"/>
      </w:pPr>
      <w:r>
        <w:rPr>
          <w:b/>
          <w:bCs/>
          <w:color w:val="1F4E5C"/>
        </w:rPr>
        <w:t xml:space="preserve">Regulation true/false — </w:t>
      </w:r>
      <w:r>
        <w:t xml:space="preserve">Items probing the two-tier reality (no statutory clinician register; local-authority skin-piercing registration required), with 'verify locally' reinforcement.</w:t>
      </w:r>
    </w:p>
    <w:p>
      <w:pPr>
        <w:pStyle w:val="ListParagraph"/>
        <w:numPr>
          <w:ilvl w:val="0"/>
          <w:numId w:val="2"/>
        </w:numPr>
        <w:spacing w:after="90"/>
      </w:pPr>
      <w:r>
        <w:rPr>
          <w:b/>
          <w:bCs/>
          <w:color w:val="1F4E5C"/>
        </w:rPr>
        <w:t xml:space="preserve">Evidence-talk builder — </w:t>
      </w:r>
      <w:r>
        <w:t xml:space="preserve">Students assemble a compliant 'does it work?' answer from sentence fragments; the tool flags any fragment that overclaims.</w:t>
      </w:r>
    </w:p>
    <w:p>
      <w:pPr>
        <w:pStyle w:val="ListParagraph"/>
        <w:numPr>
          <w:ilvl w:val="0"/>
          <w:numId w:val="2"/>
        </w:numPr>
        <w:spacing w:after="90"/>
      </w:pPr>
      <w:r>
        <w:rPr>
          <w:b/>
          <w:bCs/>
          <w:color w:val="1F4E5C"/>
        </w:rPr>
        <w:t xml:space="preserve">Personal-identity statement (portfolio) — </w:t>
      </w:r>
      <w:r>
        <w:t xml:space="preserve">'Write your one-paragraph statement of professional identity.' Stored and revisited at programme end — a deliberate book-end and a premium, personalised touch.</w:t>
      </w:r>
    </w:p>
    <w:p>
      <w:r>
        <w:br w:type="page"/>
      </w:r>
    </w:p>
    <w:p>
      <w:pPr>
        <w:pStyle w:val="Heading1"/>
      </w:pPr>
      <w:r>
        <w:t xml:space="preserve">Applying This Template to Modules 2–16</w:t>
      </w:r>
    </w:p>
    <w:p>
      <w:pPr>
        <w:spacing w:after="140"/>
      </w:pPr>
      <w:r>
        <w:t xml:space="preserve">Every lesson across the programme is built to the Part C pattern above: a 'visual assets required' list, then exact descriptions for images, infographics, and charts, then exact video content, then the four on-page learning components — research callout, clinical pearl, evidence summary, and knowledge-check interactions. This consistency is what makes the experience feel like a single premium qualification rather than a collection of lessons. The module schedules in Part B tell the team WHAT to commission for each module; this template tells them HOW each lesson is assembled.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FF1" w:sz="2"/>
              <w:left w:val="single" w:color="1F4E5C" w:sz="18"/>
              <w:bottom w:val="single" w:color="E7EFF1" w:sz="2"/>
              <w:right w:val="single" w:color="E7EFF1" w:sz="2"/>
            </w:tcBorders>
            <w:shd w:fill="E7EFF1" w:val="clear"/>
            <w:tcMar>
              <w:top w:type="dxa" w:w="120"/>
              <w:left w:type="dxa" w:w="160"/>
              <w:bottom w:type="dxa" w:w="120"/>
              <w:right w:type="dxa" w:w="160"/>
            </w:tcMar>
          </w:tcPr>
          <w:p>
            <w:pPr>
              <w:spacing w:after="60"/>
            </w:pPr>
            <w:r>
              <w:rPr>
                <w:b/>
                <w:bCs/>
                <w:color w:val="1F4E5C"/>
              </w:rPr>
              <w:t xml:space="preserve">Reuse first, commission second</w:t>
            </w:r>
          </w:p>
          <w:p>
            <w:pPr>
              <w:spacing w:after="40"/>
            </w:pPr>
            <w:r>
              <w:t xml:space="preserve">Before commissioning any anatomical or point asset for Modules 5–14, check whether it can be built by re-skinning the M3 layered anatomy or the M10 point atlas. The layered-vector strategy means most downstream anatomy is an overlay, not a new illustration — protecting both budget and visual consistency.</w:t>
            </w:r>
          </w:p>
        </w:tc>
      </w:tr>
    </w:tbl>
    <w:p>
      <w:r>
        <w:br w:type="page"/>
      </w:r>
    </w:p>
    <w:p>
      <w:pPr>
        <w:pStyle w:val="Heading1"/>
      </w:pPr>
      <w:r>
        <w:t xml:space="preserve">Part D — Production Roadmap &amp; Governance</w:t>
      </w:r>
    </w:p>
    <w:p>
      <w:pPr>
        <w:pStyle w:val="Heading2"/>
      </w:pPr>
      <w:r>
        <w:t xml:space="preserve">D1. Indicative asset volume</w:t>
      </w:r>
    </w:p>
    <w:p>
      <w:pPr>
        <w:spacing w:after="140"/>
      </w:pPr>
      <w:r>
        <w:t xml:space="preserve">Approximate counts to scope budget and schedule, based on the Part B schedules (averaged across 16 modules). Treat as planning figures, not contractual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Asset class</w:t>
            </w:r>
          </w:p>
        </w:tc>
        <w:tc>
          <w:tcPr>
            <w:tcW w:type="dxa" w:w="28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Approx. per module</w:t>
            </w:r>
          </w:p>
        </w:tc>
        <w:tc>
          <w:tcPr>
            <w:tcW w:type="dxa" w:w="288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19"/>
                <w:szCs w:val="19"/>
              </w:rPr>
              <w:t xml:space="preserve">Programme total (approx.)</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Professional photography (images/sets)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3–4</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55–65</w:t>
            </w:r>
          </w:p>
        </w:tc>
      </w:tr>
      <w:tr>
        <w:tc>
          <w:tcPr>
            <w:tcW w:type="dxa" w:w="3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Anatomical diagrams</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1–6 (front-loaded in M3/M9/M10)</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30–40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Infographics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2–4</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45–55</w:t>
            </w:r>
          </w:p>
        </w:tc>
      </w:tr>
      <w:tr>
        <w:tc>
          <w:tcPr>
            <w:tcW w:type="dxa" w:w="3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Charts &amp; graphs</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1–2</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20–30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Statistics / research visualisations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18–26</w:t>
            </w:r>
          </w:p>
        </w:tc>
      </w:tr>
      <w:tr>
        <w:tc>
          <w:tcPr>
            <w:tcW w:type="dxa" w:w="3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Educational animations</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1–2</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18–26</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Demonstration / lecture videos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25–32</w:t>
            </w:r>
          </w:p>
        </w:tc>
      </w:tr>
      <w:tr>
        <w:tc>
          <w:tcPr>
            <w:tcW w:type="dxa" w:w="3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Downloadable resources</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2–3</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40–50</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Worksheets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30–35</w:t>
            </w:r>
          </w:p>
        </w:tc>
      </w:tr>
      <w:tr>
        <w:tc>
          <w:tcPr>
            <w:tcW w:type="dxa" w:w="360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Assessment assets</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2</w:t>
            </w:r>
          </w:p>
        </w:tc>
        <w:tc>
          <w:tcPr>
            <w:tcW w:type="dxa" w:w="2880"/>
            <w:tcBorders>
              <w:top w:val="single" w:color="CCCCCC" w:sz="1"/>
              <w:left w:val="single" w:color="CCCCCC" w:sz="1"/>
              <w:bottom w:val="single" w:color="CCCCCC" w:sz="1"/>
              <w:right w:val="single" w:color="CCCCCC" w:sz="1"/>
            </w:tcBorders>
            <w:shd w:fill="FAFAF7" w:val="clear"/>
            <w:tcMar>
              <w:top w:type="dxa" w:w="70"/>
              <w:left w:type="dxa" w:w="120"/>
              <w:bottom w:type="dxa" w:w="70"/>
              <w:right w:type="dxa" w:w="120"/>
            </w:tcMar>
          </w:tcPr>
          <w:p>
            <w:r>
              <w:rPr>
                <w:sz w:val="19"/>
                <w:szCs w:val="19"/>
              </w:rPr>
              <w:t xml:space="preserve">32+</w:t>
            </w:r>
          </w:p>
        </w:tc>
      </w:tr>
    </w:tbl>
    <w:p>
      <w:pPr>
        <w:pStyle w:val="Heading2"/>
      </w:pPr>
      <w:r>
        <w:t xml:space="preserve">D2. Recommended production sequence</w:t>
      </w:r>
    </w:p>
    <w:p>
      <w:pPr>
        <w:pStyle w:val="ListParagraph"/>
        <w:numPr>
          <w:ilvl w:val="0"/>
          <w:numId w:val="2"/>
        </w:numPr>
        <w:spacing w:after="90"/>
      </w:pPr>
      <w:r>
        <w:rPr>
          <w:b/>
          <w:bCs/>
          <w:color w:val="1F4E5C"/>
        </w:rPr>
        <w:t xml:space="preserve">Phase 0 — Standards &amp; pilot — </w:t>
      </w:r>
      <w:r>
        <w:t xml:space="preserve">Lock Part A house style; produce Module 1 in full as the pilot (it is fully specified in Part C). Sign-off here sets the bar for everything.</w:t>
      </w:r>
    </w:p>
    <w:p>
      <w:pPr>
        <w:pStyle w:val="ListParagraph"/>
        <w:numPr>
          <w:ilvl w:val="0"/>
          <w:numId w:val="2"/>
        </w:numPr>
        <w:spacing w:after="90"/>
      </w:pPr>
      <w:r>
        <w:rPr>
          <w:b/>
          <w:bCs/>
          <w:color w:val="1F4E5C"/>
        </w:rPr>
        <w:t xml:space="preserve">Phase 1 — The anatomy &amp; safety core — </w:t>
      </w:r>
      <w:r>
        <w:t xml:space="preserve">Produce M3 (layered anatomy master), M4 (infection-control master video + animations), and M9 (wet-cupping flagship). These are the highest-value, highest-reuse, highest-risk assets and gate the rest.</w:t>
      </w:r>
    </w:p>
    <w:p>
      <w:pPr>
        <w:pStyle w:val="ListParagraph"/>
        <w:numPr>
          <w:ilvl w:val="0"/>
          <w:numId w:val="2"/>
        </w:numPr>
        <w:spacing w:after="90"/>
      </w:pPr>
      <w:r>
        <w:rPr>
          <w:b/>
          <w:bCs/>
          <w:color w:val="1F4E5C"/>
        </w:rPr>
        <w:t xml:space="preserve">Phase 2 — Technique &amp; clinical workflow — </w:t>
      </w:r>
      <w:r>
        <w:t xml:space="preserve">M5, M7, M8, M10, M11 — leaning on the Phase 1 anatomy and safety assets via overlays.</w:t>
      </w:r>
    </w:p>
    <w:p>
      <w:pPr>
        <w:pStyle w:val="ListParagraph"/>
        <w:numPr>
          <w:ilvl w:val="0"/>
          <w:numId w:val="2"/>
        </w:numPr>
        <w:spacing w:after="90"/>
      </w:pPr>
      <w:r>
        <w:rPr>
          <w:b/>
          <w:bCs/>
          <w:color w:val="1F4E5C"/>
        </w:rPr>
        <w:t xml:space="preserve">Phase 3 — Context &amp; scholarship — </w:t>
      </w:r>
      <w:r>
        <w:t xml:space="preserve">M2, M6, M12, M13, M14 — evidence-heavy and conversation-led pieces.</w:t>
      </w:r>
    </w:p>
    <w:p>
      <w:pPr>
        <w:pStyle w:val="ListParagraph"/>
        <w:numPr>
          <w:ilvl w:val="0"/>
          <w:numId w:val="2"/>
        </w:numPr>
        <w:spacing w:after="90"/>
      </w:pPr>
      <w:r>
        <w:rPr>
          <w:b/>
          <w:bCs/>
          <w:color w:val="1F4E5C"/>
        </w:rPr>
        <w:t xml:space="preserve">Phase 4 — Professional practice — </w:t>
      </w:r>
      <w:r>
        <w:t xml:space="preserve">M15, M16 — operational and marketing assets, including the compliant-claims card (reused from M1's traffic-light).</w:t>
      </w:r>
    </w:p>
    <w:p>
      <w:pPr>
        <w:pStyle w:val="Heading2"/>
      </w:pPr>
      <w:r>
        <w:t xml:space="preserve">D3. Reusability strategy (protects budget and consistency)</w:t>
      </w:r>
    </w:p>
    <w:p>
      <w:pPr>
        <w:pStyle w:val="ListParagraph"/>
        <w:numPr>
          <w:ilvl w:val="0"/>
          <w:numId w:val="2"/>
        </w:numPr>
      </w:pPr>
      <w:r>
        <w:t xml:space="preserve">Build anatomy once (M3) as toggleable vector layers; every downstream anatomical visual is an overlay on the same body base.</w:t>
      </w:r>
    </w:p>
    <w:p>
      <w:pPr>
        <w:pStyle w:val="ListParagraph"/>
        <w:numPr>
          <w:ilvl w:val="0"/>
          <w:numId w:val="2"/>
        </w:numPr>
      </w:pPr>
      <w:r>
        <w:t xml:space="preserve">Build the Sunnah-point atlas once (M10) over that same base; M5/M9/M13 reuse it with different overlays.</w:t>
      </w:r>
    </w:p>
    <w:p>
      <w:pPr>
        <w:pStyle w:val="ListParagraph"/>
        <w:numPr>
          <w:ilvl w:val="0"/>
          <w:numId w:val="2"/>
        </w:numPr>
      </w:pPr>
      <w:r>
        <w:t xml:space="preserve">Build the green/amber/red evidence system once (M1); reuse the component in M2, M12, and M16.</w:t>
      </w:r>
    </w:p>
    <w:p>
      <w:pPr>
        <w:pStyle w:val="ListParagraph"/>
        <w:numPr>
          <w:ilvl w:val="0"/>
          <w:numId w:val="2"/>
        </w:numPr>
      </w:pPr>
      <w:r>
        <w:t xml:space="preserve">Build one set of branded document/worksheet/assessment templates; every module's downloads inherit them.</w:t>
      </w:r>
    </w:p>
    <w:p>
      <w:pPr>
        <w:pStyle w:val="ListParagraph"/>
        <w:numPr>
          <w:ilvl w:val="0"/>
          <w:numId w:val="2"/>
        </w:numPr>
      </w:pPr>
      <w:r>
        <w:t xml:space="preserve">Film a consistent presenter/clinic set so all demonstration and lecture videos cut together as one programme.</w:t>
      </w:r>
    </w:p>
    <w:p>
      <w:pPr>
        <w:pStyle w:val="Heading2"/>
      </w:pPr>
      <w:r>
        <w:t xml:space="preserve">D4. Quality &amp; clinical governance</w:t>
      </w:r>
    </w:p>
    <w:p>
      <w:pPr>
        <w:pStyle w:val="ListParagraph"/>
        <w:numPr>
          <w:ilvl w:val="0"/>
          <w:numId w:val="2"/>
        </w:numPr>
        <w:spacing w:after="90"/>
      </w:pPr>
      <w:r>
        <w:rPr>
          <w:b/>
          <w:bCs/>
          <w:color w:val="1F4E5C"/>
        </w:rPr>
        <w:t xml:space="preserve">Two-stage review — </w:t>
      </w:r>
      <w:r>
        <w:t xml:space="preserve">Clinical-accuracy review by the clinical lead, then learning-design review for clarity, for every clinically meaningful asset.</w:t>
      </w:r>
    </w:p>
    <w:p>
      <w:pPr>
        <w:pStyle w:val="ListParagraph"/>
        <w:numPr>
          <w:ilvl w:val="0"/>
          <w:numId w:val="2"/>
        </w:numPr>
        <w:spacing w:after="90"/>
      </w:pPr>
      <w:r>
        <w:rPr>
          <w:b/>
          <w:bCs/>
          <w:color w:val="1F4E5C"/>
        </w:rPr>
        <w:t xml:space="preserve">[CLINICAL SIGN-OFF] gate — </w:t>
      </w:r>
      <w:r>
        <w:t xml:space="preserve">No asset depicting incision, blood, sharps, or waste publishes without documented clinical sign-off; these must model flawless technique.</w:t>
      </w:r>
    </w:p>
    <w:p>
      <w:pPr>
        <w:pStyle w:val="ListParagraph"/>
        <w:numPr>
          <w:ilvl w:val="0"/>
          <w:numId w:val="2"/>
        </w:numPr>
        <w:spacing w:after="90"/>
      </w:pPr>
      <w:r>
        <w:rPr>
          <w:b/>
          <w:bCs/>
          <w:color w:val="1F4E5C"/>
        </w:rPr>
        <w:t xml:space="preserve">Evidence currency — </w:t>
      </w:r>
      <w:r>
        <w:t xml:space="preserve">Research visualisations store their source and date; a scheduled annual review refreshes figures and re-grades claims so the programme never drifts out of date.</w:t>
      </w:r>
    </w:p>
    <w:p>
      <w:pPr>
        <w:pStyle w:val="ListParagraph"/>
        <w:numPr>
          <w:ilvl w:val="0"/>
          <w:numId w:val="2"/>
        </w:numPr>
        <w:spacing w:after="90"/>
      </w:pPr>
      <w:r>
        <w:rPr>
          <w:b/>
          <w:bCs/>
          <w:color w:val="1F4E5C"/>
        </w:rPr>
        <w:t xml:space="preserve">Accessibility QA — </w:t>
      </w:r>
      <w:r>
        <w:t xml:space="preserve">Captions, transcripts, alt text, contrast, and skin-tone representation checked before release — part of the premium standard, not an afterthought.</w:t>
      </w:r>
    </w:p>
    <w:p>
      <w:pPr>
        <w:pStyle w:val="Heading2"/>
      </w:pPr>
      <w:r>
        <w:t xml:space="preserve">D5. What makes it feel like a £1,500–£3,000 qualification</w:t>
      </w:r>
    </w:p>
    <w:p>
      <w:pPr>
        <w:spacing w:after="140"/>
      </w:pPr>
      <w:r>
        <w:t xml:space="preserve">The premium perception is not produced by any single expensive asset; it is produced by relentless consistency and three signals of seriousness running through every screen:</w:t>
      </w:r>
    </w:p>
    <w:p>
      <w:pPr>
        <w:pStyle w:val="ListParagraph"/>
        <w:numPr>
          <w:ilvl w:val="0"/>
          <w:numId w:val="2"/>
        </w:numPr>
      </w:pPr>
      <w:r>
        <w:t xml:space="preserve">Authority — medically accurate illustration, evidence-honest data visuals, and clinical sign-off visible in the quality of every safety asset.</w:t>
      </w:r>
    </w:p>
    <w:p>
      <w:pPr>
        <w:pStyle w:val="ListParagraph"/>
        <w:numPr>
          <w:ilvl w:val="0"/>
          <w:numId w:val="2"/>
        </w:numPr>
      </w:pPr>
      <w:r>
        <w:t xml:space="preserve">Care — dignity-led photography across skin tones, full accessibility, and client-facing take-aways the student is proud to hand over.</w:t>
      </w:r>
    </w:p>
    <w:p>
      <w:pPr>
        <w:pStyle w:val="ListParagraph"/>
        <w:numPr>
          <w:ilvl w:val="0"/>
          <w:numId w:val="2"/>
        </w:numPr>
      </w:pPr>
      <w:r>
        <w:t xml:space="preserve">Coherence — one colour system, one type system, one presenter, one set of templates, and a single repeated lesson architecture (callout · pearl · evidence summary · interaction) that makes sixteen modules feel like one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3" w:sz="2"/>
              <w:left w:val="single" w:color="8A6D3B" w:sz="18"/>
              <w:bottom w:val="single" w:color="F3EEE3" w:sz="2"/>
              <w:right w:val="single" w:color="F3EEE3" w:sz="2"/>
            </w:tcBorders>
            <w:shd w:fill="F3EEE3" w:val="clear"/>
            <w:tcMar>
              <w:top w:type="dxa" w:w="120"/>
              <w:left w:type="dxa" w:w="160"/>
              <w:bottom w:type="dxa" w:w="120"/>
              <w:right w:type="dxa" w:w="160"/>
            </w:tcMar>
          </w:tcPr>
          <w:p>
            <w:pPr>
              <w:spacing w:after="60"/>
            </w:pPr>
            <w:r>
              <w:rPr>
                <w:b/>
                <w:bCs/>
                <w:color w:val="8A6D3B"/>
              </w:rPr>
              <w:t xml:space="preserve">The single most important principle</w:t>
            </w:r>
          </w:p>
          <w:p>
            <w:pPr>
              <w:spacing w:after="40"/>
            </w:pPr>
            <w:r>
              <w:t xml:space="preserve">A premium healthcare programme earns its fee by being trustworthy, not by being flashy. Every production decision in this blueprint should be tested against one question: does this make the student more competent and the practice safer? Where the answer is yes, it also, reliably, makes the programme feel worth the price.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666666"/>
        <w:sz w:val="15"/>
        <w:szCs w:val="15"/>
      </w:rPr>
      <w:t xml:space="preserve">Sunnah Remedies — Media Production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D3B" w:sz="8" w:space="4"/>
      </w:pBdr>
      <w:spacing w:after="200" w:before="300"/>
      <w:outlineLvl w:val="0"/>
    </w:pPr>
    <w:rPr>
      <w:rFonts w:ascii="Arial" w:cs="Arial" w:eastAsia="Arial" w:hAnsi="Arial"/>
      <w:b/>
      <w:bCs/>
      <w:color w:val="1F4E5C"/>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4E5C"/>
      <w:sz w:val="26"/>
      <w:szCs w:val="26"/>
    </w:rPr>
  </w:style>
  <w:style w:type="paragraph" w:styleId="Heading3">
    <w:name w:val="Heading 3"/>
    <w:basedOn w:val="Normal"/>
    <w:next w:val="Normal"/>
    <w:qFormat/>
    <w:pPr>
      <w:spacing w:after="90" w:before="160"/>
      <w:outlineLvl w:val="2"/>
    </w:pPr>
    <w:rPr>
      <w:rFonts w:ascii="Arial" w:cs="Arial" w:eastAsia="Arial" w:hAnsi="Arial"/>
      <w:b/>
      <w:bCs/>
      <w:color w:val="8A6D3B"/>
      <w:sz w:val="22"/>
      <w:szCs w:val="22"/>
    </w:rPr>
  </w:style>
  <w:style w:type="paragraph" w:styleId="Heading4">
    <w:name w:val="Heading 4"/>
    <w:basedOn w:val="Normal"/>
    <w:next w:val="Normal"/>
    <w:qFormat/>
    <w:pPr>
      <w:spacing w:after="70" w:before="120"/>
      <w:outlineLvl w:val="3"/>
    </w:pPr>
    <w:rPr>
      <w:rFonts w:ascii="Arial" w:cs="Arial" w:eastAsia="Arial" w:hAnsi="Arial"/>
      <w:b/>
      <w:bCs/>
      <w:i/>
      <w:i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2026-06-09T10:04:00.897Z</dcterms:created>
  <dcterms:modified xsi:type="dcterms:W3CDTF">2026-06-09T10:04:00.897Z</dcterms:modified>
</cp:coreProperties>
</file>

<file path=docProps/custom.xml><?xml version="1.0" encoding="utf-8"?>
<Properties xmlns="http://schemas.openxmlformats.org/officeDocument/2006/custom-properties" xmlns:vt="http://schemas.openxmlformats.org/officeDocument/2006/docPropsVTypes"/>
</file>