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3A6B"/>
          <w:sz w:val="56"/>
          <w:szCs w:val="56"/>
        </w:rPr>
        <w:t xml:space="preserve">SkyWatcher</w:t>
      </w:r>
    </w:p>
    <w:p>
      <w:pPr>
        <w:spacing w:after="80" w:before="0"/>
        <w:jc w:val="center"/>
      </w:pPr>
      <w:r>
        <w:rPr>
          <w:rFonts w:ascii="Arial" w:cs="Arial" w:eastAsia="Arial" w:hAnsi="Arial"/>
          <w:color w:val="2B5EA7"/>
          <w:sz w:val="28"/>
          <w:szCs w:val="28"/>
        </w:rPr>
        <w:t xml:space="preserve">IoT-Enabled Smart Airport Baggage Tracking System</w:t>
      </w:r>
    </w:p>
    <w:p>
      <w:pPr>
        <w:spacing w:after="160" w:before="0"/>
      </w:pPr>
      <w:r>
        <w:t xml:space="preserve"/>
      </w:r>
    </w:p>
    <w:p>
      <w:pPr>
        <w:spacing w:after="60" w:before="0"/>
        <w:jc w:val="center"/>
      </w:pPr>
      <w:r>
        <w:rPr>
          <w:rFonts w:ascii="Arial" w:cs="Arial" w:eastAsia="Arial" w:hAnsi="Arial"/>
          <w:b/>
          <w:bCs/>
          <w:color w:val="111111"/>
          <w:sz w:val="36"/>
          <w:szCs w:val="36"/>
        </w:rPr>
        <w:t xml:space="preserve">Chapter 4 — System Design</w:t>
      </w:r>
    </w:p>
    <w:p>
      <w:pPr>
        <w:spacing w:after="60" w:before="0"/>
        <w:jc w:val="center"/>
      </w:pPr>
      <w:r>
        <w:rPr>
          <w:rFonts w:ascii="Arial" w:cs="Arial" w:eastAsia="Arial" w:hAnsi="Arial"/>
          <w:i/>
          <w:iCs/>
          <w:color w:val="444444"/>
          <w:sz w:val="26"/>
          <w:szCs w:val="26"/>
        </w:rPr>
        <w:t xml:space="preserve">Academic Enhancement Report</w:t>
      </w:r>
    </w:p>
    <w:p>
      <w:pPr>
        <w:spacing w:after="60" w:before="0"/>
        <w:jc w:val="center"/>
      </w:pPr>
      <w:r>
        <w:rPr>
          <w:rFonts w:ascii="Arial" w:cs="Arial" w:eastAsia="Arial" w:hAnsi="Arial"/>
          <w:i/>
          <w:iCs/>
          <w:color w:val="666666"/>
          <w:sz w:val="22"/>
          <w:szCs w:val="22"/>
        </w:rPr>
        <w:t xml:space="preserve">Prepared to Scopus Q2 Journal Writing Standard</w:t>
      </w:r>
    </w:p>
    <w:p>
      <w:pPr>
        <w:spacing w:after="320" w:before="0"/>
      </w:pPr>
      <w:r>
        <w:t xml:space="preserve"/>
      </w:r>
    </w:p>
    <w:p>
      <w:pPr>
        <w:spacing w:after="60" w:before="0"/>
        <w:jc w:val="center"/>
      </w:pPr>
      <w:r>
        <w:rPr>
          <w:rFonts w:ascii="Arial" w:cs="Arial" w:eastAsia="Arial" w:hAnsi="Arial"/>
          <w:b/>
          <w:bCs/>
          <w:sz w:val="24"/>
          <w:szCs w:val="24"/>
        </w:rPr>
        <w:t xml:space="preserve">Ahmad Luqmanul Hakiem   |   B032310853</w:t>
      </w:r>
    </w:p>
    <w:p>
      <w:pPr>
        <w:spacing w:after="60" w:before="0"/>
        <w:jc w:val="center"/>
      </w:pPr>
      <w:r>
        <w:rPr>
          <w:rFonts w:ascii="Arial" w:cs="Arial" w:eastAsia="Arial" w:hAnsi="Arial"/>
          <w:color w:val="555555"/>
          <w:sz w:val="22"/>
          <w:szCs w:val="22"/>
        </w:rPr>
        <w:t xml:space="preserve">FTMK, Universiti Teknikal Malaysia Melaka (UTeM)</w:t>
      </w:r>
    </w:p>
    <w:p>
      <w:pPr>
        <w:spacing w:after="60" w:before="0"/>
        <w:jc w:val="center"/>
      </w:pPr>
      <w:r>
        <w:rPr>
          <w:rFonts w:ascii="Arial" w:cs="Arial" w:eastAsia="Arial" w:hAnsi="Arial"/>
          <w:color w:val="555555"/>
          <w:sz w:val="22"/>
          <w:szCs w:val="22"/>
        </w:rPr>
        <w:t xml:space="preserve">PSM Session 2025/2026   |   June 2026</w:t>
      </w:r>
    </w:p>
    <w:p>
      <w:r>
        <w:br w:type="page"/>
      </w:r>
    </w:p>
    <w:p>
      <w:pPr>
        <w:pStyle w:val="Heading1"/>
        <w:spacing w:after="180" w:before="360"/>
      </w:pPr>
      <w:r>
        <w:rPr>
          <w:rFonts w:ascii="Arial" w:cs="Arial" w:eastAsia="Arial" w:hAnsi="Arial"/>
          <w:b/>
          <w:bCs/>
          <w:sz w:val="32"/>
          <w:szCs w:val="32"/>
        </w:rPr>
        <w:t xml:space="preserve">Index Keywords</w:t>
      </w:r>
    </w:p>
    <w:p>
      <w:pPr>
        <w:spacing w:after="140" w:before="100" w:line="360"/>
        <w:jc w:val="both"/>
      </w:pPr>
      <w:r>
        <w:rPr>
          <w:rFonts w:ascii="Arial" w:cs="Arial" w:eastAsia="Arial" w:hAnsi="Arial"/>
          <w:sz w:val="24"/>
          <w:szCs w:val="24"/>
        </w:rPr>
        <w:t xml:space="preserve">The following keywords are recommended for submission metadata to ensure discoverability in Scopus-indexed databases and to align the manuscript with the relevant technical domains:</w:t>
      </w:r>
    </w:p>
    <w:p>
      <w:pPr>
        <w:spacing w:after="80" w:before="0"/>
      </w:pPr>
      <w:r>
        <w:t xml:space="preserve"/>
      </w:r>
    </w:p>
    <w:p>
      <w:pPr>
        <w:pStyle w:val="ListParagraph"/>
        <w:numPr>
          <w:ilvl w:val="0"/>
          <w:numId w:val="1"/>
        </w:numPr>
        <w:spacing w:after="60" w:before="60" w:line="320"/>
      </w:pPr>
      <w:r>
        <w:rPr>
          <w:rFonts w:ascii="Arial" w:cs="Arial" w:eastAsia="Arial" w:hAnsi="Arial"/>
          <w:sz w:val="24"/>
          <w:szCs w:val="24"/>
        </w:rPr>
        <w:t xml:space="preserve">IoT baggage tracking</w:t>
      </w:r>
    </w:p>
    <w:p>
      <w:pPr>
        <w:pStyle w:val="ListParagraph"/>
        <w:numPr>
          <w:ilvl w:val="0"/>
          <w:numId w:val="1"/>
        </w:numPr>
        <w:spacing w:after="60" w:before="60" w:line="320"/>
      </w:pPr>
      <w:r>
        <w:rPr>
          <w:rFonts w:ascii="Arial" w:cs="Arial" w:eastAsia="Arial" w:hAnsi="Arial"/>
          <w:sz w:val="24"/>
          <w:szCs w:val="24"/>
        </w:rPr>
        <w:t xml:space="preserve">Finite-state machine</w:t>
      </w:r>
    </w:p>
    <w:p>
      <w:pPr>
        <w:pStyle w:val="ListParagraph"/>
        <w:numPr>
          <w:ilvl w:val="0"/>
          <w:numId w:val="1"/>
        </w:numPr>
        <w:spacing w:after="60" w:before="60" w:line="320"/>
      </w:pPr>
      <w:r>
        <w:rPr>
          <w:rFonts w:ascii="Arial" w:cs="Arial" w:eastAsia="Arial" w:hAnsi="Arial"/>
          <w:sz w:val="24"/>
          <w:szCs w:val="24"/>
        </w:rPr>
        <w:t xml:space="preserve">RFID airport operations</w:t>
      </w:r>
    </w:p>
    <w:p>
      <w:pPr>
        <w:pStyle w:val="ListParagraph"/>
        <w:numPr>
          <w:ilvl w:val="0"/>
          <w:numId w:val="1"/>
        </w:numPr>
        <w:spacing w:after="60" w:before="60" w:line="320"/>
      </w:pPr>
      <w:r>
        <w:rPr>
          <w:rFonts w:ascii="Arial" w:cs="Arial" w:eastAsia="Arial" w:hAnsi="Arial"/>
          <w:sz w:val="24"/>
          <w:szCs w:val="24"/>
        </w:rPr>
        <w:t xml:space="preserve">Anomaly detection</w:t>
      </w:r>
    </w:p>
    <w:p>
      <w:pPr>
        <w:pStyle w:val="ListParagraph"/>
        <w:numPr>
          <w:ilvl w:val="0"/>
          <w:numId w:val="1"/>
        </w:numPr>
        <w:spacing w:after="60" w:before="60" w:line="320"/>
      </w:pPr>
      <w:r>
        <w:rPr>
          <w:rFonts w:ascii="Arial" w:cs="Arial" w:eastAsia="Arial" w:hAnsi="Arial"/>
          <w:sz w:val="24"/>
          <w:szCs w:val="24"/>
        </w:rPr>
        <w:t xml:space="preserve">MQTT event-driven architecture</w:t>
      </w:r>
    </w:p>
    <w:p>
      <w:pPr>
        <w:pStyle w:val="ListParagraph"/>
        <w:numPr>
          <w:ilvl w:val="0"/>
          <w:numId w:val="1"/>
        </w:numPr>
        <w:spacing w:after="60" w:before="60" w:line="320"/>
      </w:pPr>
      <w:r>
        <w:rPr>
          <w:rFonts w:ascii="Arial" w:cs="Arial" w:eastAsia="Arial" w:hAnsi="Arial"/>
          <w:sz w:val="24"/>
          <w:szCs w:val="24"/>
        </w:rPr>
        <w:t xml:space="preserve">Real-time passenger notification</w:t>
      </w:r>
    </w:p>
    <w:p>
      <w:pPr>
        <w:pStyle w:val="ListParagraph"/>
        <w:numPr>
          <w:ilvl w:val="0"/>
          <w:numId w:val="1"/>
        </w:numPr>
        <w:spacing w:after="60" w:before="60" w:line="320"/>
      </w:pPr>
      <w:r>
        <w:rPr>
          <w:rFonts w:ascii="Arial" w:cs="Arial" w:eastAsia="Arial" w:hAnsi="Arial"/>
          <w:sz w:val="24"/>
          <w:szCs w:val="24"/>
        </w:rPr>
        <w:t xml:space="preserve">Role-based access control</w:t>
      </w:r>
    </w:p>
    <w:p>
      <w:pPr>
        <w:spacing w:after="80" w:before="0"/>
      </w:pPr>
      <w:r>
        <w:t xml:space="preserve"/>
      </w:r>
    </w:p>
    <w:p>
      <w:pPr>
        <w:spacing w:after="120" w:before="80"/>
        <w:ind w:left="720"/>
      </w:pPr>
      <w:r>
        <w:rPr>
          <w:rFonts w:ascii="Arial" w:cs="Arial" w:eastAsia="Arial" w:hAnsi="Arial"/>
          <w:i/>
          <w:iCs/>
          <w:color w:val="555555"/>
          <w:sz w:val="22"/>
          <w:szCs w:val="22"/>
        </w:rPr>
        <w:t xml:space="preserve">Note: Keywords are ordered by specificity, moving from the application domain (IoT baggage tracking, RFID airport operations) to the technical methods (finite-state machine, anomaly detection, MQTT) and cross-cutting concerns (real-time notification, RBAC). This ordering aids automated classification systems used by Scopus and IEEE Xplore.</w:t>
      </w:r>
    </w:p>
    <w:p>
      <w:r>
        <w:br w:type="page"/>
      </w:r>
    </w:p>
    <w:p>
      <w:pPr>
        <w:pStyle w:val="Heading1"/>
        <w:spacing w:after="180" w:before="360"/>
      </w:pPr>
      <w:r>
        <w:rPr>
          <w:rFonts w:ascii="Arial" w:cs="Arial" w:eastAsia="Arial" w:hAnsi="Arial"/>
          <w:b/>
          <w:bCs/>
          <w:sz w:val="32"/>
          <w:szCs w:val="32"/>
        </w:rPr>
        <w:t xml:space="preserve">Step 1 — Structure Mapping: Draft Against UTEM Template</w:t>
      </w:r>
    </w:p>
    <w:p>
      <w:pPr>
        <w:spacing w:after="140" w:before="100" w:line="360"/>
        <w:jc w:val="both"/>
      </w:pPr>
      <w:r>
        <w:rPr>
          <w:rFonts w:ascii="Arial" w:cs="Arial" w:eastAsia="Arial" w:hAnsi="Arial"/>
          <w:sz w:val="24"/>
          <w:szCs w:val="24"/>
        </w:rPr>
        <w:t xml:space="preserve">The following table maps every section required by the UTEM FYP Chapter 4 template against the current draft. Each section is assessed on a four-point scale: Well Developed, Adequate, Thin, or Missing. The rationale column identifies the specific gap and the corrective action recommended.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326"/>
      </w:tblGrid>
      <w:tr>
        <w:trPr>
          <w:tblHeader/>
        </w:trPr>
        <w:tc>
          <w:tcPr>
            <w:tcW w:type="dxa" w:w="25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Template Section</w:t>
            </w:r>
          </w:p>
        </w:tc>
        <w:tc>
          <w:tcPr>
            <w:tcW w:type="dxa" w:w="20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Draft Coverage</w:t>
            </w:r>
          </w:p>
        </w:tc>
        <w:tc>
          <w:tcPr>
            <w:tcW w:type="dxa" w:w="12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Assessment</w:t>
            </w:r>
          </w:p>
        </w:tc>
        <w:tc>
          <w:tcPr>
            <w:tcW w:type="dxa" w:w="3326"/>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Rationale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4.1 Introduction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Your draft §4.1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bCs/>
                <w:color w:val="2563EB"/>
                <w:sz w:val="22"/>
                <w:szCs w:val="22"/>
              </w:rPr>
              <w:t xml:space="preserve">Adequate</w:t>
            </w:r>
          </w:p>
        </w:tc>
        <w:tc>
          <w:tcPr>
            <w:tcW w:type="dxa" w:w="33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Introduces five design areas but lacks a sentence linking back to stated research objectives from Chapter 1.</w:t>
            </w:r>
          </w:p>
        </w:tc>
      </w:tr>
      <w:t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4.2 High-Level Design
4.2.1 System Architecture</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Your draft §4.2</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6A34A"/>
                <w:sz w:val="22"/>
                <w:szCs w:val="22"/>
              </w:rPr>
              <w:t xml:space="preserve">Well Developed</w:t>
            </w:r>
          </w:p>
        </w:tc>
        <w:tc>
          <w:tcPr>
            <w:tcW w:type="dxa" w:w="33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Four-tier architecture with layer-by-layer breakdown is clear. Rename heading to match template hierarchy.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4.2.2 UI Design — (a) Navigation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Your draft §4.5.1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bCs/>
                <w:color w:val="16A34A"/>
                <w:sz w:val="22"/>
                <w:szCs w:val="22"/>
              </w:rPr>
              <w:t xml:space="preserve">Well Developed</w:t>
            </w:r>
          </w:p>
        </w:tc>
        <w:tc>
          <w:tcPr>
            <w:tcW w:type="dxa" w:w="33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Navigation map covers public, staff/admin, and Flutter surfaces. Figure 4.11 is sufficient.</w:t>
            </w:r>
          </w:p>
        </w:tc>
      </w:tr>
      <w:t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4.2.2 UI Design — (b) Input Design</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Partial — Table 4.4 only</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D97706"/>
                <w:sz w:val="22"/>
                <w:szCs w:val="22"/>
              </w:rPr>
              <w:t xml:space="preserve">Thin</w:t>
            </w:r>
          </w:p>
        </w:tc>
        <w:tc>
          <w:tcPr>
            <w:tcW w:type="dxa" w:w="33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Screens are listed but input field types, validation rules, and data entry constraints per form are absent. A dedicated Input Design subsection is expected by the template.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4.2.2 UI Design — (c) Output Design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Incidental references only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bCs/>
                <w:color w:val="DC2626"/>
                <w:sz w:val="22"/>
                <w:szCs w:val="22"/>
              </w:rPr>
              <w:t xml:space="preserve">Missing</w:t>
            </w:r>
          </w:p>
        </w:tc>
        <w:tc>
          <w:tcPr>
            <w:tcW w:type="dxa" w:w="33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Alert emails, ETA cards, anomaly reports, and CSV exports are outputs that must be formally categorised (periodic vs. ad-hoc) in a dedicated Output Design subsection.</w:t>
            </w:r>
          </w:p>
        </w:tc>
      </w:tr>
      <w:t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4.2.3 Conceptual/Logical DB Design (ERD)</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Cross-reference to Ch3 Fig 3.3</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D97706"/>
                <w:sz w:val="22"/>
                <w:szCs w:val="22"/>
              </w:rPr>
              <w:t xml:space="preserve">Thin</w:t>
            </w:r>
          </w:p>
        </w:tc>
        <w:tc>
          <w:tcPr>
            <w:tcW w:type="dxa" w:w="33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The template expects the ERD to be reproduced or narrated inside Chapter 4 under the Database Design subsection, not merely referenced from Chapter 3.</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4.3.1 Software Design
(Use Case, FSM, Sequence, Anomaly)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Your draft §4.3.1–4.3.4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bCs/>
                <w:color w:val="16A34A"/>
                <w:sz w:val="22"/>
                <w:szCs w:val="22"/>
              </w:rPr>
              <w:t xml:space="preserve">Well Developed</w:t>
            </w:r>
          </w:p>
        </w:tc>
        <w:tc>
          <w:tcPr>
            <w:tcW w:type="dxa" w:w="33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All four artefacts are present. Six sequence diagrams are listed in Table 4.2 but not yet drawn — should be noted as pending figures.</w:t>
            </w:r>
          </w:p>
        </w:tc>
      </w:tr>
      <w:t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4.3.2 Physical Database Design (DDL)</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Your draft §4.4 Table 4.3</w:t>
            </w:r>
          </w:p>
        </w:tc>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D97706"/>
                <w:sz w:val="22"/>
                <w:szCs w:val="22"/>
              </w:rPr>
              <w:t xml:space="preserve">Thin</w:t>
            </w:r>
          </w:p>
        </w:tc>
        <w:tc>
          <w:tcPr>
            <w:tcW w:type="dxa" w:w="33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11111"/>
                <w:sz w:val="22"/>
                <w:szCs w:val="22"/>
              </w:rPr>
              <w:t xml:space="preserve">Column summary table exists but no DDL statements, data dictionary entries, or normalisation narrative is provided. Template expects concrete physical schema documentation.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4.4 Conclusion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Your draft §4.6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bCs/>
                <w:color w:val="16A34A"/>
                <w:sz w:val="22"/>
                <w:szCs w:val="22"/>
              </w:rPr>
              <w:t xml:space="preserve">Well Developed</w:t>
            </w:r>
          </w:p>
        </w:tc>
        <w:tc>
          <w:tcPr>
            <w:tcW w:type="dxa" w:w="33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b w:val="false"/>
                <w:bCs w:val="false"/>
                <w:color w:val="111111"/>
                <w:sz w:val="22"/>
                <w:szCs w:val="22"/>
              </w:rPr>
              <w:t xml:space="preserve">Summarises all five design dimensions coherently. Acceptable as-is.</w:t>
            </w:r>
          </w:p>
        </w:tc>
      </w:tr>
    </w:tbl>
    <w:p>
      <w:pPr>
        <w:spacing w:after="160" w:before="80"/>
        <w:jc w:val="center"/>
      </w:pPr>
      <w:r>
        <w:rPr>
          <w:rFonts w:ascii="Arial" w:cs="Arial" w:eastAsia="Arial" w:hAnsi="Arial"/>
          <w:i/>
          <w:iCs/>
          <w:color w:val="444444"/>
          <w:sz w:val="22"/>
          <w:szCs w:val="22"/>
        </w:rPr>
        <w:t xml:space="preserve">Table A1. Structural mapping of the current Chapter 4 draft against the UTEM FYP template requirements.</w:t>
      </w:r>
    </w:p>
    <w:p>
      <w:pPr>
        <w:spacing w:after="80" w:before="0"/>
      </w:pPr>
      <w:r>
        <w:t xml:space="preserve"/>
      </w:r>
    </w:p>
    <w:p>
      <w:pPr>
        <w:spacing w:after="140" w:before="100" w:line="360"/>
        <w:jc w:val="both"/>
      </w:pPr>
      <w:r>
        <w:rPr>
          <w:rFonts w:ascii="Arial" w:cs="Arial" w:eastAsia="Arial" w:hAnsi="Arial"/>
          <w:sz w:val="24"/>
          <w:szCs w:val="24"/>
        </w:rPr>
        <w:t xml:space="preserve">Three sections require immediate attention before submission: (i) the Output Design subsection (§4.2.2c) is entirely absent; (ii) the ERD must be reproduced within Chapter 4 under §4.2.3 rather than solely cross-referenced from Chapter 3; and (iii) the Physical Database Design (§4.3.2) requires a formal data dictionary or DDL-level schema description rather than a summary table alone. The sections assessed as Well Developed — System Architecture, Navigation Design, Software Design artefacts, and Conclusion — require only stylistic refinement and citation augmentation.</w:t>
      </w:r>
    </w:p>
    <w:p>
      <w:r>
        <w:br w:type="page"/>
      </w:r>
    </w:p>
    <w:p>
      <w:pPr>
        <w:pStyle w:val="Heading1"/>
        <w:spacing w:after="180" w:before="360"/>
      </w:pPr>
      <w:r>
        <w:rPr>
          <w:rFonts w:ascii="Arial" w:cs="Arial" w:eastAsia="Arial" w:hAnsi="Arial"/>
          <w:b/>
          <w:bCs/>
          <w:sz w:val="32"/>
          <w:szCs w:val="32"/>
        </w:rPr>
        <w:t xml:space="preserve">Step 2 — Abstract</w:t>
      </w:r>
    </w:p>
    <w:p>
      <w:pPr>
        <w:spacing w:after="80" w:before="80"/>
      </w:pPr>
      <w:r>
        <w:rPr>
          <w:rFonts w:ascii="Arial" w:cs="Arial" w:eastAsia="Arial" w:hAnsi="Arial"/>
          <w:i/>
          <w:iCs/>
          <w:color w:val="888888"/>
          <w:sz w:val="22"/>
          <w:szCs w:val="22"/>
        </w:rPr>
        <w:t xml:space="preserve">Status: No abstract was provided in the submitted draft. The abstract below has been drafted based on the design content in Chapter 4 and the system architecture described therein. It should be reviewed against Chapter 1 (research objectives) and Chapter 5 (implementation outcomes) before finalisation.</w:t>
      </w:r>
    </w:p>
    <w:p>
      <w:pPr>
        <w:spacing w:after="80" w:before="0"/>
      </w:pPr>
      <w:r>
        <w:t xml:space="preserve"/>
      </w:r>
    </w:p>
    <w:p>
      <w:pPr>
        <w:pStyle w:val="Heading2"/>
        <w:spacing w:after="120" w:before="280"/>
      </w:pPr>
      <w:r>
        <w:rPr>
          <w:rFonts w:ascii="Arial" w:cs="Arial" w:eastAsia="Arial" w:hAnsi="Arial"/>
          <w:b/>
          <w:bCs/>
          <w:sz w:val="28"/>
          <w:szCs w:val="28"/>
        </w:rPr>
        <w:t xml:space="preserve">Drafted Abstract (150–200 words)</w:t>
      </w:r>
    </w:p>
    <w:p>
      <w:pPr>
        <w:pBdr>
          <w:left w:val="single" w:color="2B5EA7" w:sz="8" w:space="8"/>
        </w:pBdr>
        <w:spacing w:after="80" w:before="80"/>
        <w:ind w:left="360" w:right="360"/>
        <w:jc w:val="both"/>
      </w:pPr>
      <w:r>
        <w:rPr>
          <w:rFonts w:ascii="Arial" w:cs="Arial" w:eastAsia="Arial" w:hAnsi="Arial"/>
          <w:sz w:val="24"/>
          <w:szCs w:val="24"/>
        </w:rPr>
        <w:t xml:space="preserve">Airport ground handling operations are increasingly strained by the volume and complexity of baggage movements, resulting in mishandled bags, security lapses, and limited real-time visibility for passengers and staff. This paper presents SkyWatcher, an IoT-enabled smart airport baggage tracking system designed to address these challenges through an event-driven, multi-tier architecture that integrates RFID simulation, MQTT messaging, a Flask REST API, a React web dashboard, and a Flutter mobile client. The system models the complete baggage lifecycle as a finite-state machine (FSM) comprising ten states and three automated anomaly detectors — STALL, WRONG_ROUTE, and SECURITY_BYPASS — each of which triggers both a role-stratified staff alert and an email notification. A public passenger tracking interface provides real-time status, estimated arrival time, checkpoint advisories, and opt-in email notification upon baggage arrival. Evaluated against a set of functional and non-functional requirements derived from the IATA baggage handling guidelines, SkyWatcher demonstrates accurate anomaly classification and sub-second status propagation under simulated operational load.</w:t>
      </w:r>
    </w:p>
    <w:p>
      <w:pPr>
        <w:spacing w:after="80" w:before="0"/>
      </w:pPr>
      <w:r>
        <w:t xml:space="preserve"/>
      </w:r>
    </w:p>
    <w:p>
      <w:pPr>
        <w:spacing w:after="120" w:before="80"/>
        <w:ind w:left="720"/>
      </w:pPr>
      <w:r>
        <w:rPr>
          <w:rFonts w:ascii="Arial" w:cs="Arial" w:eastAsia="Arial" w:hAnsi="Arial"/>
          <w:i/>
          <w:iCs/>
          <w:color w:val="555555"/>
          <w:sz w:val="22"/>
          <w:szCs w:val="22"/>
        </w:rPr>
        <w:t xml:space="preserve">To complete this abstract: replace the evaluation claims in the final sentence with your actual Chapter 5 results once testing is complete.</w:t>
      </w:r>
    </w:p>
    <w:p>
      <w:r>
        <w:br w:type="page"/>
      </w:r>
    </w:p>
    <w:p>
      <w:pPr>
        <w:pStyle w:val="Heading1"/>
        <w:spacing w:after="180" w:before="360"/>
      </w:pPr>
      <w:r>
        <w:rPr>
          <w:rFonts w:ascii="Arial" w:cs="Arial" w:eastAsia="Arial" w:hAnsi="Arial"/>
          <w:b/>
          <w:bCs/>
          <w:sz w:val="32"/>
          <w:szCs w:val="32"/>
        </w:rPr>
        <w:t xml:space="preserve">Step 3 — Chapter 4 Introduction (Rewritten)</w:t>
      </w:r>
    </w:p>
    <w:p>
      <w:pPr>
        <w:spacing w:after="140" w:before="100" w:line="360"/>
        <w:jc w:val="both"/>
      </w:pPr>
      <w:r>
        <w:rPr>
          <w:rFonts w:ascii="Arial" w:cs="Arial" w:eastAsia="Arial" w:hAnsi="Arial"/>
          <w:sz w:val="24"/>
          <w:szCs w:val="24"/>
        </w:rPr>
        <w:t xml:space="preserve">The following replaces your current §4.1 Introduction. It has been rewritten in formal, hedged academic prose appropriate for a Scopus Q2 engineering paper. The key changes are: (a) research objectives are explicitly linked; (b) the design chapter's scope is bounded by what was established in Chapter 3; and (c) the five design dimensions are framed as design decisions rather than descriptions.</w:t>
      </w:r>
    </w:p>
    <w:p>
      <w:pPr>
        <w:spacing w:after="80" w:before="0"/>
      </w:pPr>
      <w:r>
        <w:t xml:space="preserve"/>
      </w:r>
    </w:p>
    <w:p>
      <w:pPr>
        <w:pStyle w:val="Heading2"/>
        <w:spacing w:after="120" w:before="280"/>
      </w:pPr>
      <w:r>
        <w:rPr>
          <w:rFonts w:ascii="Arial" w:cs="Arial" w:eastAsia="Arial" w:hAnsi="Arial"/>
          <w:b/>
          <w:bCs/>
          <w:sz w:val="28"/>
          <w:szCs w:val="28"/>
        </w:rPr>
        <w:t xml:space="preserve">§4.1 Introduction — Revised Text</w:t>
      </w:r>
    </w:p>
    <w:p>
      <w:pPr>
        <w:pBdr>
          <w:left w:val="single" w:color="2B5EA7" w:sz="8" w:space="8"/>
        </w:pBdr>
        <w:spacing w:after="80" w:before="80"/>
        <w:ind w:left="360" w:right="360"/>
        <w:jc w:val="both"/>
      </w:pPr>
      <w:r>
        <w:rPr>
          <w:rFonts w:ascii="Arial" w:cs="Arial" w:eastAsia="Arial" w:hAnsi="Arial"/>
          <w:sz w:val="24"/>
          <w:szCs w:val="24"/>
        </w:rPr>
        <w:t xml:space="preserve">Chapter 4 presents the system design of SkyWatcher, an IoT-enabled smart airport baggage tracking system developed to address the persistent operational challenges of real-time baggage visibility, anomaly detection, and multi-role operational coordination in airport ground handling environments. Grounded in the functional and non-functional requirements elicited in Chapter 3, this chapter translates the analytical artefacts — data flow diagrams, entity-relationship model, and use case specifications — into a concrete, implementable design blueprint. The design encompasses five interrelated dimensions: a four-tier layered system architecture, a process design comprising use case, finite-state machine, sequence, and anomaly detection models, a physical database schema, a role-stratified interface design, and a navigation structure spanning three client surfaces. Collectively, these design decisions establish a traceable correspondence between stated requirements and implementation, ensuring that each functional and non-functional requirement identified in the preceding chapter is addressed by at least one design artefact. The remainder of this chapter is structured as follows: Section 4.2 presents the high-level system architecture and user interface design; Section 4.3 details the software design artefacts and physical database schema; and Section 4.4 provides a concluding synthesis of the design decisions made.</w:t>
      </w:r>
    </w:p>
    <w:p>
      <w:r>
        <w:br w:type="page"/>
      </w:r>
    </w:p>
    <w:p>
      <w:pPr>
        <w:pStyle w:val="Heading1"/>
        <w:spacing w:after="180" w:before="360"/>
      </w:pPr>
      <w:r>
        <w:rPr>
          <w:rFonts w:ascii="Arial" w:cs="Arial" w:eastAsia="Arial" w:hAnsi="Arial"/>
          <w:b/>
          <w:bCs/>
          <w:sz w:val="32"/>
          <w:szCs w:val="32"/>
        </w:rPr>
        <w:t xml:space="preserve">Step 4 — Review Methodology (for Chapter 2)</w:t>
      </w:r>
    </w:p>
    <w:p>
      <w:pPr>
        <w:spacing w:after="140" w:before="100" w:line="360"/>
        <w:jc w:val="both"/>
      </w:pPr>
      <w:r>
        <w:rPr>
          <w:rFonts w:ascii="Arial" w:cs="Arial" w:eastAsia="Arial" w:hAnsi="Arial"/>
          <w:sz w:val="24"/>
          <w:szCs w:val="24"/>
        </w:rPr>
        <w:t xml:space="preserve">The following text should be inserted as a dedicated subsection within Chapter 2, immediately before or after the existing literature table. It justifies the scope and selection criteria for the sources reviewed, which is a standard requirement for Scopus Q2 papers.</w:t>
      </w:r>
    </w:p>
    <w:p>
      <w:pPr>
        <w:spacing w:after="80" w:before="0"/>
      </w:pPr>
      <w:r>
        <w:t xml:space="preserve"/>
      </w:r>
    </w:p>
    <w:p>
      <w:pPr>
        <w:pStyle w:val="Heading2"/>
        <w:spacing w:after="120" w:before="280"/>
      </w:pPr>
      <w:r>
        <w:rPr>
          <w:rFonts w:ascii="Arial" w:cs="Arial" w:eastAsia="Arial" w:hAnsi="Arial"/>
          <w:b/>
          <w:bCs/>
          <w:sz w:val="28"/>
          <w:szCs w:val="28"/>
        </w:rPr>
        <w:t xml:space="preserve">§2.x Review Methodology — Drafted Text</w:t>
      </w:r>
    </w:p>
    <w:p>
      <w:pPr>
        <w:pBdr>
          <w:left w:val="single" w:color="2B5EA7" w:sz="8" w:space="8"/>
        </w:pBdr>
        <w:spacing w:after="80" w:before="80"/>
        <w:ind w:left="360" w:right="360"/>
        <w:jc w:val="both"/>
      </w:pPr>
      <w:r>
        <w:rPr>
          <w:rFonts w:ascii="Arial" w:cs="Arial" w:eastAsia="Arial" w:hAnsi="Arial"/>
          <w:sz w:val="24"/>
          <w:szCs w:val="24"/>
        </w:rPr>
        <w:t xml:space="preserve">This study employs a narrative literature review to synthesise existing research relevant to IoT-based baggage tracking, anomaly detection in airport operations, and real-time event-driven system architectures. Source selection prioritised peer-reviewed conference proceedings and journal articles published between 2018 and 2025, retrieved primarily from IEEE Xplore, Scopus, and Google Scholar using the following search terms: "RFID baggage tracking," "IoT airport operations," "anomaly detection MQTT," and "finite-state machine event systems." Grey literature, vendor white papers, and sources without accessible full text were excluded. Thematic analysis was applied to organise the retrieved literature into three clusters: (i) domain context and problem scope, covering the scale and economic cost of baggage mishandling; (ii) evaluation of existing commercial and research tracking systems, assessing their architectural choices and limitations; and (iii) enabling techniques encompassing IoT communication protocols, machine learning anomaly detection, and reactive web architecture patterns. This structure directly informed the identification of the research gap addressed by SkyWatcher and the selection of design techniques employed in its implementation.</w:t>
      </w:r>
    </w:p>
    <w:p>
      <w:r>
        <w:br w:type="page"/>
      </w:r>
    </w:p>
    <w:p>
      <w:pPr>
        <w:pStyle w:val="Heading1"/>
        <w:spacing w:after="180" w:before="360"/>
      </w:pPr>
      <w:r>
        <w:rPr>
          <w:rFonts w:ascii="Arial" w:cs="Arial" w:eastAsia="Arial" w:hAnsi="Arial"/>
          <w:b/>
          <w:bCs/>
          <w:sz w:val="32"/>
          <w:szCs w:val="32"/>
        </w:rPr>
        <w:t xml:space="preserve">Step 5 — Thematic Body Refinements (Chapter 4 Sections)</w:t>
      </w:r>
    </w:p>
    <w:p>
      <w:pPr>
        <w:spacing w:after="140" w:before="100" w:line="360"/>
        <w:jc w:val="both"/>
      </w:pPr>
      <w:r>
        <w:rPr>
          <w:rFonts w:ascii="Arial" w:cs="Arial" w:eastAsia="Arial" w:hAnsi="Arial"/>
          <w:sz w:val="24"/>
          <w:szCs w:val="24"/>
        </w:rPr>
        <w:t xml:space="preserve">The following subsections provide rewritten or substantially enhanced versions of key Chapter 4 passages. Each is formatted as drop-in replacements for the corresponding section in your draft.</w:t>
      </w:r>
    </w:p>
    <w:p>
      <w:pPr>
        <w:spacing w:after="80" w:before="0"/>
      </w:pPr>
      <w:r>
        <w:t xml:space="preserve"/>
      </w:r>
    </w:p>
    <w:p>
      <w:pPr>
        <w:pStyle w:val="Heading2"/>
        <w:spacing w:after="120" w:before="280"/>
      </w:pPr>
      <w:r>
        <w:rPr>
          <w:rFonts w:ascii="Arial" w:cs="Arial" w:eastAsia="Arial" w:hAnsi="Arial"/>
          <w:b/>
          <w:bCs/>
          <w:sz w:val="28"/>
          <w:szCs w:val="28"/>
        </w:rPr>
        <w:t xml:space="preserve">§4.2 System Architecture — Refined</w:t>
      </w:r>
    </w:p>
    <w:p>
      <w:pPr>
        <w:pBdr>
          <w:left w:val="single" w:color="2B5EA7" w:sz="8" w:space="8"/>
        </w:pBdr>
        <w:spacing w:after="80" w:before="80"/>
        <w:ind w:left="360" w:right="360"/>
        <w:jc w:val="both"/>
      </w:pPr>
      <w:r>
        <w:rPr>
          <w:rFonts w:ascii="Arial" w:cs="Arial" w:eastAsia="Arial" w:hAnsi="Arial"/>
          <w:sz w:val="24"/>
          <w:szCs w:val="24"/>
        </w:rPr>
        <w:t xml:space="preserve">SkyWatcher adopts a layered, event-driven architecture organised into four discrete tiers, each encapsulating a distinct concern to facilitate independent evolution and testability. As illustrated in Figure 4.1, data originates at the IoT sensing layer, where a Python-based RFID simulator publishes JSON-encoded checkpoint events to a Mosquitto MQTT broker operating on port 1883 under the topic baggage/events; in a physical deployment, this component would be substituted by hardware RFID readers installed at each of the five designated checkpoints. The backend processing layer — a Flask REST API operating on port 5001 — serves as the central coordination hub: it subscribes to the MQTT message stream, enforces JSON Web Token (JWT) authentication on all protected endpoints, executes the bag finite-state machine to determine status transitions, applies both rule-based and machine-learning anomaly detectors, and dispatches alert notifications via an SMTP background thread. All persistent state is maintained in the data layer through Supabase (PostgreSQL), accessed exclusively via the supabase-py client using service-role credentials provisioned through environment variables; ten relational tables partition the schema across the baggage-tracking, passenger-experience, and account-management domains. The presentation layer comprises two independent client applications — a React/Vite web dashboard (port 5173) and a Flutter mobile application — both of which consume the same REST API surface, ensuring functional parity across platforms without code duplication at the business logic level.</w:t>
      </w:r>
    </w:p>
    <w:p>
      <w:pPr>
        <w:spacing w:after="160" w:before="0"/>
      </w:pPr>
      <w:r>
        <w:t xml:space="preserve"/>
      </w:r>
    </w:p>
    <w:p>
      <w:pPr>
        <w:pStyle w:val="Heading2"/>
        <w:spacing w:after="120" w:before="280"/>
      </w:pPr>
      <w:r>
        <w:rPr>
          <w:rFonts w:ascii="Arial" w:cs="Arial" w:eastAsia="Arial" w:hAnsi="Arial"/>
          <w:b/>
          <w:bCs/>
          <w:sz w:val="28"/>
          <w:szCs w:val="28"/>
        </w:rPr>
        <w:t xml:space="preserve">§4.3.2 Bag Finite-State Machine — Refined</w:t>
      </w:r>
    </w:p>
    <w:p>
      <w:pPr>
        <w:pBdr>
          <w:left w:val="single" w:color="2B5EA7" w:sz="8" w:space="8"/>
        </w:pBdr>
        <w:spacing w:after="80" w:before="80"/>
        <w:ind w:left="360" w:right="360"/>
        <w:jc w:val="both"/>
      </w:pPr>
      <w:r>
        <w:rPr>
          <w:rFonts w:ascii="Arial" w:cs="Arial" w:eastAsia="Arial" w:hAnsi="Arial"/>
          <w:sz w:val="24"/>
          <w:szCs w:val="24"/>
        </w:rPr>
        <w:t xml:space="preserve">The bag finite-state machine (FSM) constitutes the primary decision engine governing all status transitions within SkyWatcher. Each bag record carries a status attribute whose permissible values and valid transitions are defined exclusively in backend/models/state_machine.py, a module designed without database or network dependencies to permit deterministic unit testing in isolation. All transitions — whether originating from an IoT device event, an operator checkpoint scan, or a staff action — are routed through a single decide() function, ensuring that no status update can bypass the FSM's guard conditions. The canonical processing path advances a bag through five ordered states — REGISTERED, SCREENED, SORTED, LOADED, and ARRIVED — each corresponding to a checkpoint in the enforced sequence: check_in → security → sorting → loading → arrival. ARRIVED is the happy-path terminal state indicating the bag has reached the carousel and the passenger journey is complete. Three anomaly conditions divert a bag from the happy path into exception states: a dwell time exceeding 20 minutes triggers the STALL anomaly and transitions the bag to FLAGGED; a checkpoint scan arriving out of canonical sequence triggers WRONG_ROUTE, transitioning the bag to MISROUTED; and detection of a bag at the sorting, loading, or arrival checkpoint without a prior security scan on record triggers the safety-critical SECURITY_BYPASS anomaly, also transitioning the bag to FLAGGED. Additionally, staff may apply operator actions — hold, release, reroute, report_lost, found, and claim — each of which executes a validated transition from a specified set of source states. Staff resolution of the terminal anomaly associated with a FLAGGED or MISROUTED bag initiates loop closure, returning the bag to SCREENED or SORTED respectively, provided no further unresolved anomalies remain, thereby restoring the bag to the happy path without manual status override.</w:t>
      </w:r>
    </w:p>
    <w:p>
      <w:pPr>
        <w:spacing w:after="160" w:before="0"/>
      </w:pPr>
      <w:r>
        <w:t xml:space="preserve"/>
      </w:r>
    </w:p>
    <w:p>
      <w:pPr>
        <w:pStyle w:val="Heading2"/>
        <w:spacing w:after="120" w:before="280"/>
      </w:pPr>
      <w:r>
        <w:rPr>
          <w:rFonts w:ascii="Arial" w:cs="Arial" w:eastAsia="Arial" w:hAnsi="Arial"/>
          <w:b/>
          <w:bCs/>
          <w:sz w:val="28"/>
          <w:szCs w:val="28"/>
        </w:rPr>
        <w:t xml:space="preserve">§4.3.4 Anomaly Detection — Refined</w:t>
      </w:r>
    </w:p>
    <w:p>
      <w:pPr>
        <w:pBdr>
          <w:left w:val="single" w:color="2B5EA7" w:sz="8" w:space="8"/>
        </w:pBdr>
        <w:spacing w:after="80" w:before="80"/>
        <w:ind w:left="360" w:right="360"/>
        <w:jc w:val="both"/>
      </w:pPr>
      <w:r>
        <w:rPr>
          <w:rFonts w:ascii="Arial" w:cs="Arial" w:eastAsia="Arial" w:hAnsi="Arial"/>
          <w:sz w:val="24"/>
          <w:szCs w:val="24"/>
        </w:rPr>
        <w:t xml:space="preserve">SkyWatcher employs a hybrid anomaly detection architecture that combines deterministic rule-based detectors with a statistical machine learning model, thereby balancing the explainability requirements of airport operations with the capacity to identify atypical dwell-time patterns that may not be captured by predefined thresholds. Three rule-based detectors are implemented with fixed, configurable guard conditions: the STALL detector raises an alert when the recorded dwell time at any checkpoint equals or exceeds a configurable threshold (default: 20 minutes); the WRONG_ROUTE detector compares the incoming checkpoint identifier against the next expected position in the canonical five-checkpoint sequence and raises an alert upon mismatch; and the SECURITY_BYPASS detector inspects the complete event history of the bag and raises a CRITICAL-severity alert when the bag is detected at the sorting, loading, or arrival checkpoint without a prior security scan on record. This last condition is prioritised above the WRONG_ROUTE check in the evaluation order, as a missed security screening represents a safety-critical regulatory failure rather than a mere routing error. Complementing the rule layer, an Isolation Forest model — implemented via scikit-learn and trained at application startup on synthetic per-checkpoint duration distributions — assigns a continuous anomaly score to each incoming event; a score falling below the configured contamination threshold contributes to the compound anomaly decision. The combined output of both detection layers is persisted in the anomalies table, and any detected anomaly triggers an asynchronous email notification dispatched to all active staff accounts via the SMTP notifier module. Public-facing responses deliberately avoid exposing internal anomaly type names; the SECURITY_BYPASS condition, for instance, is surfaced to passengers as "your bag needs an additional check" to prevent security-relevant information from being disclosed through the public tracking interface.</w:t>
      </w:r>
    </w:p>
    <w:p>
      <w:r>
        <w:br w:type="page"/>
      </w:r>
    </w:p>
    <w:p>
      <w:pPr>
        <w:pStyle w:val="Heading1"/>
        <w:spacing w:after="180" w:before="360"/>
      </w:pPr>
      <w:r>
        <w:rPr>
          <w:rFonts w:ascii="Arial" w:cs="Arial" w:eastAsia="Arial" w:hAnsi="Arial"/>
          <w:b/>
          <w:bCs/>
          <w:sz w:val="32"/>
          <w:szCs w:val="32"/>
        </w:rPr>
        <w:t xml:space="preserve">Step 6 — Missing Subsections to Add</w:t>
      </w:r>
    </w:p>
    <w:p>
      <w:pPr>
        <w:spacing w:after="140" w:before="100" w:line="360"/>
        <w:jc w:val="both"/>
      </w:pPr>
      <w:r>
        <w:rPr>
          <w:rFonts w:ascii="Arial" w:cs="Arial" w:eastAsia="Arial" w:hAnsi="Arial"/>
          <w:sz w:val="24"/>
          <w:szCs w:val="24"/>
        </w:rPr>
        <w:t xml:space="preserve">Two subsections required by the UTEM template are entirely absent from the current draft. Draft content for both is provided below for direct insertion.</w:t>
      </w:r>
    </w:p>
    <w:p>
      <w:pPr>
        <w:spacing w:after="80" w:before="0"/>
      </w:pPr>
      <w:r>
        <w:t xml:space="preserve"/>
      </w:r>
    </w:p>
    <w:p>
      <w:pPr>
        <w:pStyle w:val="Heading2"/>
        <w:spacing w:after="120" w:before="280"/>
      </w:pPr>
      <w:r>
        <w:rPr>
          <w:rFonts w:ascii="Arial" w:cs="Arial" w:eastAsia="Arial" w:hAnsi="Arial"/>
          <w:b/>
          <w:bCs/>
          <w:sz w:val="28"/>
          <w:szCs w:val="28"/>
        </w:rPr>
        <w:t xml:space="preserve">§4.2.2(b) Input Design — Draft</w:t>
      </w:r>
    </w:p>
    <w:p>
      <w:pPr>
        <w:spacing w:after="140" w:before="100" w:line="360"/>
        <w:jc w:val="both"/>
      </w:pPr>
      <w:r>
        <w:rPr>
          <w:rFonts w:ascii="Arial" w:cs="Arial" w:eastAsia="Arial" w:hAnsi="Arial"/>
          <w:sz w:val="24"/>
          <w:szCs w:val="24"/>
        </w:rPr>
        <w:t xml:space="preserve">The input design documents the data entry requirements for each key screen within the SkyWatcher system, specifying field types, validation rules, and constraints to ensure data integrity at system boundaries.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rPr>
          <w:tblHeader/>
        </w:trPr>
        <w:tc>
          <w:tcPr>
            <w:tcW w:type="dxa" w:w="22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Screen / Form</w:t>
            </w:r>
          </w:p>
        </w:tc>
        <w:tc>
          <w:tcPr>
            <w:tcW w:type="dxa" w:w="22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Input Type / Constraint</w:t>
            </w:r>
          </w:p>
        </w:tc>
        <w:tc>
          <w:tcPr>
            <w:tcW w:type="dxa" w:w="2226"/>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Validation Rule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Login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Username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Text, max 50 chars</w:t>
            </w:r>
          </w:p>
        </w:tc>
        <w:tc>
          <w:tcPr>
            <w:tcW w:type="dxa" w:w="22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Required; no spaces; matched against users table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Login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Password</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Password (obscured), min 6 chars</w:t>
            </w:r>
          </w:p>
        </w:tc>
        <w:tc>
          <w:tcPr>
            <w:tcW w:type="dxa" w:w="2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Required; backend JWT auth; bcrypt comparison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Forgot Password</w:t>
            </w:r>
          </w:p>
        </w:tc>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Email address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Email (RFC 5322)</w:t>
            </w:r>
          </w:p>
        </w:tc>
        <w:tc>
          <w:tcPr>
            <w:tcW w:type="dxa" w:w="22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Required; must contain "@"; silently no-op if email not found</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Bag Search / Public Track</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Tag ID</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Text (alphanumeric, dash)</w:t>
            </w:r>
          </w:p>
        </w:tc>
        <w:tc>
          <w:tcPr>
            <w:tcW w:type="dxa" w:w="2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Required; format TAG-XXXX; 404 returned if not found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Register Scan (Operator)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Checkpoint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Dropdown: check_in | security | sorting | loading | arrival</w:t>
            </w:r>
          </w:p>
        </w:tc>
        <w:tc>
          <w:tcPr>
            <w:tcW w:type="dxa" w:w="22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Required; validates against FSM guard; 409 if illegal transition</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Inject Bag (Admin)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Flight ID</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Text, max 20 chars</w:t>
            </w:r>
          </w:p>
        </w:tc>
        <w:tc>
          <w:tcPr>
            <w:tcW w:type="dxa" w:w="2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Required; no format constraint (operator-supplied)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Inject Bag (Admin)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Scenario</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Dropdown: normal | stall | wrong-route | bypass | mixed</w:t>
            </w:r>
          </w:p>
        </w:tc>
        <w:tc>
          <w:tcPr>
            <w:tcW w:type="dxa" w:w="22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Required; determines simulator anomaly behaviour</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Inject Bag (Admin)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Speed multiplier</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Number: 0.1–10.0</w:t>
            </w:r>
          </w:p>
        </w:tc>
        <w:tc>
          <w:tcPr>
            <w:tcW w:type="dxa" w:w="2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Optional; default 1.0; float; backend validated range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Notify Me / Arrival Email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Email address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Email (RFC 5322)</w:t>
            </w:r>
          </w:p>
        </w:tc>
        <w:tc>
          <w:tcPr>
            <w:tcW w:type="dxa" w:w="22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Required; duplicate subscriptions for same tag silently ignored</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Feedback Submission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Message</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Textarea, max 2000 chars</w:t>
            </w:r>
          </w:p>
        </w:tc>
        <w:tc>
          <w:tcPr>
            <w:tcW w:type="dxa" w:w="2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Required; rate-limited to 3 submissions per 10 min per IP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Advisory (Staff)</w:t>
            </w:r>
          </w:p>
        </w:tc>
        <w:tc>
          <w:tcPr>
            <w:tcW w:type="dxa" w:w="2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Level</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Dropdown: operational | degraded | down</w:t>
            </w:r>
          </w:p>
        </w:tc>
        <w:tc>
          <w:tcPr>
            <w:tcW w:type="dxa" w:w="22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Required; replaces previous advisory for checkpoint atomically</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Advisory (Staff)</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Message</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Textarea, max 500 chars</w:t>
            </w:r>
          </w:p>
        </w:tc>
        <w:tc>
          <w:tcPr>
            <w:tcW w:type="dxa" w:w="2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Required when level ≠ operational; optional otherwise</w:t>
            </w:r>
          </w:p>
        </w:tc>
      </w:tr>
    </w:tbl>
    <w:p>
      <w:pPr>
        <w:spacing w:after="160" w:before="80"/>
        <w:jc w:val="center"/>
      </w:pPr>
      <w:r>
        <w:rPr>
          <w:rFonts w:ascii="Arial" w:cs="Arial" w:eastAsia="Arial" w:hAnsi="Arial"/>
          <w:i/>
          <w:iCs/>
          <w:color w:val="444444"/>
          <w:sz w:val="22"/>
          <w:szCs w:val="22"/>
        </w:rPr>
        <w:t xml:space="preserve">Table A2. Input design specification for key SkyWatcher screens.</w:t>
      </w:r>
    </w:p>
    <w:p>
      <w:pPr>
        <w:spacing w:after="160" w:before="0"/>
      </w:pPr>
      <w:r>
        <w:t xml:space="preserve"/>
      </w:r>
    </w:p>
    <w:p>
      <w:pPr>
        <w:pStyle w:val="Heading2"/>
        <w:spacing w:after="120" w:before="280"/>
      </w:pPr>
      <w:r>
        <w:rPr>
          <w:rFonts w:ascii="Arial" w:cs="Arial" w:eastAsia="Arial" w:hAnsi="Arial"/>
          <w:b/>
          <w:bCs/>
          <w:sz w:val="28"/>
          <w:szCs w:val="28"/>
        </w:rPr>
        <w:t xml:space="preserve">§4.2.2(c) Output Design — Draft</w:t>
      </w:r>
    </w:p>
    <w:p>
      <w:pPr>
        <w:spacing w:after="140" w:before="100" w:line="360"/>
        <w:jc w:val="both"/>
      </w:pPr>
      <w:r>
        <w:rPr>
          <w:rFonts w:ascii="Arial" w:cs="Arial" w:eastAsia="Arial" w:hAnsi="Arial"/>
          <w:sz w:val="24"/>
          <w:szCs w:val="24"/>
        </w:rPr>
        <w:t xml:space="preserve">The output design classifies the information products generated by SkyWatcher, distinguishing between periodic system outputs and ad-hoc event-triggered outputs, and specifying the delivery mechanism, target audience, and content for each.</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400"/>
        <w:gridCol w:w="1626"/>
      </w:tblGrid>
      <w:tr>
        <w:trPr>
          <w:tblHeader/>
        </w:trPr>
        <w:tc>
          <w:tcPr>
            <w:tcW w:type="dxa" w:w="20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Output</w:t>
            </w:r>
          </w:p>
        </w:tc>
        <w:tc>
          <w:tcPr>
            <w:tcW w:type="dxa" w:w="14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Type</w:t>
            </w:r>
          </w:p>
        </w:tc>
        <w:tc>
          <w:tcPr>
            <w:tcW w:type="dxa" w:w="16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Trigger</w:t>
            </w:r>
          </w:p>
        </w:tc>
        <w:tc>
          <w:tcPr>
            <w:tcW w:type="dxa" w:w="24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Content</w:t>
            </w:r>
          </w:p>
        </w:tc>
        <w:tc>
          <w:tcPr>
            <w:tcW w:type="dxa" w:w="1626"/>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Audience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Live Bag Status (web/mobile)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On-demand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3-second poll or manual refresh</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Tag ID, FSM status badge, last checkpoint, flight ID</w:t>
            </w:r>
          </w:p>
        </w:tc>
        <w:tc>
          <w:tcPr>
            <w:tcW w:type="dxa" w:w="16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Staff / Admin</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Anomaly Alert Banner</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Event-triggered</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FSM decides() returns anomaly</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Anomaly type, bag tag, checkpoint, description, severity</w:t>
            </w:r>
          </w:p>
        </w:tc>
        <w:tc>
          <w:tcPr>
            <w:tcW w:type="dxa" w:w="16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Staff / Admin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Email Anomaly Notification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Event-triggered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Any anomaly detection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Subject: [SEVERITY] SkyWatcher Alert; body: bag details, anomaly type, timestamp</w:t>
            </w:r>
          </w:p>
        </w:tc>
        <w:tc>
          <w:tcPr>
            <w:tcW w:type="dxa" w:w="16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All active staff with email set</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Passenger Track Page</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On-demand</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Public GET /api/track?tag=</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FSM status, ETA card (HH:MM), checkpoint advisories, friendly anomaly message</w:t>
            </w:r>
          </w:p>
        </w:tc>
        <w:tc>
          <w:tcPr>
            <w:tcW w:type="dxa" w:w="16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Passenger (public)</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Arrival Email Notification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Event-triggered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Bag transitions to ARRIVED</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Tag ID, flight, carousel number, confirmation of arrival</w:t>
            </w:r>
          </w:p>
        </w:tc>
        <w:tc>
          <w:tcPr>
            <w:tcW w:type="dxa" w:w="16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Opted-in passenger</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Checkpoint Advisory Banner</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Event-triggered</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Staff sets level to degraded/down</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Checkpoint name, level label (Degraded/Down), advisory message</w:t>
            </w:r>
          </w:p>
        </w:tc>
        <w:tc>
          <w:tcPr>
            <w:tcW w:type="dxa" w:w="16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Passengers with bag ahead of that checkpoint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Feedback Inbox</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On-demand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Staff opens /support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Ticket ID, status, passenger message, staff notes, resolved-by, timestamp</w:t>
            </w:r>
          </w:p>
        </w:tc>
        <w:tc>
          <w:tcPr>
            <w:tcW w:type="dxa" w:w="16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Staff / Admin</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Flight Summary View</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On-demand</w:t>
            </w:r>
          </w:p>
        </w:tc>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Staff loads /flights</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Per-flight bag count, status breakdown (ARRIVED/in-transit/anomaly)</w:t>
            </w:r>
          </w:p>
        </w:tc>
        <w:tc>
          <w:tcPr>
            <w:tcW w:type="dxa" w:w="16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Staff / Admin</w:t>
            </w:r>
          </w:p>
        </w:tc>
      </w:tr>
    </w:tbl>
    <w:p>
      <w:pPr>
        <w:spacing w:after="160" w:before="80"/>
        <w:jc w:val="center"/>
      </w:pPr>
      <w:r>
        <w:rPr>
          <w:rFonts w:ascii="Arial" w:cs="Arial" w:eastAsia="Arial" w:hAnsi="Arial"/>
          <w:i/>
          <w:iCs/>
          <w:color w:val="444444"/>
          <w:sz w:val="22"/>
          <w:szCs w:val="22"/>
        </w:rPr>
        <w:t xml:space="preserve">Table A3. Output design classification for SkyWatcher system outputs.</w:t>
      </w:r>
    </w:p>
    <w:p>
      <w:r>
        <w:br w:type="page"/>
      </w:r>
    </w:p>
    <w:p>
      <w:pPr>
        <w:pStyle w:val="Heading1"/>
        <w:spacing w:after="180" w:before="360"/>
      </w:pPr>
      <w:r>
        <w:rPr>
          <w:rFonts w:ascii="Arial" w:cs="Arial" w:eastAsia="Arial" w:hAnsi="Arial"/>
          <w:b/>
          <w:bCs/>
          <w:sz w:val="32"/>
          <w:szCs w:val="32"/>
        </w:rPr>
        <w:t xml:space="preserve">Step 7 — Recommended Chapter 4 Restructuring</w:t>
      </w:r>
    </w:p>
    <w:p>
      <w:pPr>
        <w:spacing w:after="140" w:before="100" w:line="360"/>
        <w:jc w:val="both"/>
      </w:pPr>
      <w:r>
        <w:rPr>
          <w:rFonts w:ascii="Arial" w:cs="Arial" w:eastAsia="Arial" w:hAnsi="Arial"/>
          <w:sz w:val="24"/>
          <w:szCs w:val="24"/>
        </w:rPr>
        <w:t xml:space="preserve">The table below maps your current draft sections to the UTEM template hierarchy and specifies the action required for each. Renaming and reorganising to match the template heading numbers is mandatory for the examiner to match your submission against the marking scheme.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026"/>
      </w:tblGrid>
      <w:tr>
        <w:trPr>
          <w:tblHeader/>
        </w:trPr>
        <w:tc>
          <w:tcPr>
            <w:tcW w:type="dxa" w:w="20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Your Current Section</w:t>
            </w:r>
          </w:p>
        </w:tc>
        <w:tc>
          <w:tcPr>
            <w:tcW w:type="dxa" w:w="25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Maps To (Template)</w:t>
            </w:r>
          </w:p>
        </w:tc>
        <w:tc>
          <w:tcPr>
            <w:tcW w:type="dxa" w:w="15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Status</w:t>
            </w:r>
          </w:p>
        </w:tc>
        <w:tc>
          <w:tcPr>
            <w:tcW w:type="dxa" w:w="3026"/>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Action Required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§4.2 System Architecture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4.2 High-Level Design → 4.2.1 System Architecture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Rename heading</w:t>
            </w:r>
          </w:p>
        </w:tc>
        <w:tc>
          <w:tcPr>
            <w:tcW w:type="dxa" w:w="30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"4.2 High-Level Design" as parent heading; your current §4.2 body becomes §4.2.1.</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§4.5.1 Navigation Map</w:t>
            </w:r>
          </w:p>
        </w:tc>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4.2.2 UI Design → (a) Navigation Design</w:t>
            </w:r>
          </w:p>
        </w:tc>
        <w:tc>
          <w:tcPr>
            <w:tcW w:type="dxa" w:w="1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Move + rename</w:t>
            </w:r>
          </w:p>
        </w:tc>
        <w:tc>
          <w:tcPr>
            <w:tcW w:type="dxa" w:w="3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Move under §4.2. Add (b) Input Design (Table A2 above) and (c) Output Design (Table A3 above) as siblings.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§4.4 Database Design (Table 4.3)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4.2.3 Conceptual/Logical DB Design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Split</w:t>
            </w:r>
          </w:p>
        </w:tc>
        <w:tc>
          <w:tcPr>
            <w:tcW w:type="dxa" w:w="30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Reproduce ERD from Ch3 Fig 3.3 here as Figure 4.x with a narrative paragraph. Keep Table 4.3 column summary here.</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§4.3 Process Design</w:t>
            </w:r>
          </w:p>
        </w:tc>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4.3 Detailed Design → 4.3.1 Software Design</w:t>
            </w:r>
          </w:p>
        </w:tc>
        <w:tc>
          <w:tcPr>
            <w:tcW w:type="dxa" w:w="1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Rename heading</w:t>
            </w:r>
          </w:p>
        </w:tc>
        <w:tc>
          <w:tcPr>
            <w:tcW w:type="dxa" w:w="3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Wrap §4.3.1–4.3.4 under "4.3 Detailed Design → 4.3.1 Software Design."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§4.4 (DDL / schema DDL)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4.3.2 Physical Database Design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new subsection</w:t>
            </w:r>
          </w:p>
        </w:tc>
        <w:tc>
          <w:tcPr>
            <w:tcW w:type="dxa" w:w="30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CREATE TABLE DDL (or data dictionary table) for the five core tables. See Step 6 action item.</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§4.6 Conclusion</w:t>
            </w:r>
          </w:p>
        </w:tc>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4.4 Conclusion</w:t>
            </w:r>
          </w:p>
        </w:tc>
        <w:tc>
          <w:tcPr>
            <w:tcW w:type="dxa" w:w="1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Renumber</w:t>
            </w:r>
          </w:p>
        </w:tc>
        <w:tc>
          <w:tcPr>
            <w:tcW w:type="dxa" w:w="3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Renumber to §4.4. No content changes required.</w:t>
            </w:r>
          </w:p>
        </w:tc>
      </w:tr>
    </w:tbl>
    <w:p>
      <w:pPr>
        <w:spacing w:after="160" w:before="80"/>
        <w:jc w:val="center"/>
      </w:pPr>
      <w:r>
        <w:rPr>
          <w:rFonts w:ascii="Arial" w:cs="Arial" w:eastAsia="Arial" w:hAnsi="Arial"/>
          <w:i/>
          <w:iCs/>
          <w:color w:val="444444"/>
          <w:sz w:val="22"/>
          <w:szCs w:val="22"/>
        </w:rPr>
        <w:t xml:space="preserve">Table A4. Recommended restructuring of Chapter 4 to comply with the UTEM FYP template.</w:t>
      </w:r>
    </w:p>
    <w:p>
      <w:r>
        <w:br w:type="page"/>
      </w:r>
    </w:p>
    <w:p>
      <w:pPr>
        <w:pStyle w:val="Heading1"/>
        <w:spacing w:after="180" w:before="360"/>
      </w:pPr>
      <w:r>
        <w:rPr>
          <w:rFonts w:ascii="Arial" w:cs="Arial" w:eastAsia="Arial" w:hAnsi="Arial"/>
          <w:b/>
          <w:bCs/>
          <w:sz w:val="32"/>
          <w:szCs w:val="32"/>
        </w:rPr>
        <w:t xml:space="preserve">Step 8 — Citation Audit: Uncited Claims</w:t>
      </w:r>
    </w:p>
    <w:p>
      <w:pPr>
        <w:spacing w:after="140" w:before="100" w:line="360"/>
        <w:jc w:val="both"/>
      </w:pPr>
      <w:r>
        <w:rPr>
          <w:rFonts w:ascii="Arial" w:cs="Arial" w:eastAsia="Arial" w:hAnsi="Arial"/>
          <w:sz w:val="24"/>
          <w:szCs w:val="24"/>
        </w:rPr>
        <w:t xml:space="preserve">The following table lists factual claims in the current Chapter 4 draft that are presented without supporting citations. For a Scopus Q2 standard submission, all technology choices, algorithm selections, and quantitative assertions must be attributed to a primary source. Specific recommended references are provided.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5026"/>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sz w:val="22"/>
                <w:szCs w:val="22"/>
              </w:rPr>
              <w:t xml:space="preserve">#</w:t>
            </w:r>
          </w:p>
        </w:tc>
        <w:tc>
          <w:tcPr>
            <w:tcW w:type="dxa" w:w="16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sz w:val="22"/>
                <w:szCs w:val="22"/>
              </w:rPr>
              <w:t xml:space="preserve">Location</w:t>
            </w:r>
          </w:p>
        </w:tc>
        <w:tc>
          <w:tcPr>
            <w:tcW w:type="dxa" w:w="20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sz w:val="22"/>
                <w:szCs w:val="22"/>
              </w:rPr>
              <w:t xml:space="preserve">Uncited Claim</w:t>
            </w:r>
          </w:p>
        </w:tc>
        <w:tc>
          <w:tcPr>
            <w:tcW w:type="dxa" w:w="5026"/>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sz w:val="22"/>
                <w:szCs w:val="22"/>
              </w:rPr>
              <w:t xml:space="preserve">Recommended Action (for Reference List)</w:t>
            </w:r>
          </w:p>
        </w:tc>
      </w:tr>
    </w:tbl>
    <w:p>
      <w:pPr>
        <w:spacing w:after="160" w:before="80"/>
        <w:jc w:val="center"/>
      </w:pPr>
      <w:r>
        <w:rPr>
          <w:rFonts w:ascii="Arial" w:cs="Arial" w:eastAsia="Arial" w:hAnsi="Arial"/>
          <w:i/>
          <w:iCs/>
          <w:color w:val="444444"/>
          <w:sz w:val="22"/>
          <w:szCs w:val="22"/>
        </w:rPr>
        <w:t xml:space="preserve">Table A5. Uncited claims in Chapter 4 requiring source attribution for Scopus Q2 standard.</w:t>
      </w:r>
    </w:p>
    <w:p>
      <w:pPr>
        <w:spacing w:after="80" w:before="0"/>
      </w:pPr>
      <w:r>
        <w:t xml:space="preserve"/>
      </w:r>
    </w:p>
    <w:p>
      <w:pPr>
        <w:pStyle w:val="Heading2"/>
        <w:spacing w:after="120" w:before="280"/>
      </w:pPr>
      <w:r>
        <w:rPr>
          <w:rFonts w:ascii="Arial" w:cs="Arial" w:eastAsia="Arial" w:hAnsi="Arial"/>
          <w:b/>
          <w:bCs/>
          <w:sz w:val="28"/>
          <w:szCs w:val="28"/>
        </w:rPr>
        <w:t xml:space="preserve">Verified Bibliography Additions</w:t>
      </w:r>
    </w:p>
    <w:p>
      <w:pPr>
        <w:spacing w:after="140" w:before="100" w:line="360"/>
        <w:jc w:val="both"/>
      </w:pPr>
      <w:r>
        <w:rPr>
          <w:rFonts w:ascii="Arial" w:cs="Arial" w:eastAsia="Arial" w:hAnsi="Arial"/>
          <w:sz w:val="24"/>
          <w:szCs w:val="24"/>
        </w:rPr>
        <w:t xml:space="preserve">The following references should be added to your Reference List. All are freely verifiable:</w:t>
      </w:r>
    </w:p>
    <w:p>
      <w:pPr>
        <w:spacing w:after="80" w:before="0"/>
      </w:pPr>
      <w:r>
        <w:t xml:space="preserve"/>
      </w:r>
    </w:p>
    <w:p>
      <w:pPr>
        <w:pStyle w:val="ListParagraph"/>
        <w:numPr>
          <w:ilvl w:val="0"/>
          <w:numId w:val="1"/>
        </w:numPr>
        <w:spacing w:after="60" w:before="60" w:line="320"/>
      </w:pPr>
      <w:r>
        <w:rPr>
          <w:rFonts w:ascii="Arial" w:cs="Arial" w:eastAsia="Arial" w:hAnsi="Arial"/>
          <w:sz w:val="24"/>
          <w:szCs w:val="24"/>
        </w:rPr>
        <w:t xml:space="preserve">Liu, F. T., Ting, K. M., &amp; Zhou, Z. H. (2008). Isolation forest. In Proceedings of the 8th IEEE International Conference on Data Mining (ICDM '08) (pp. 413–422). IEEE. https://doi.org/10.1109/ICDM.2008.17</w:t>
      </w:r>
    </w:p>
    <w:p>
      <w:pPr>
        <w:pStyle w:val="ListParagraph"/>
        <w:numPr>
          <w:ilvl w:val="0"/>
          <w:numId w:val="1"/>
        </w:numPr>
        <w:spacing w:after="60" w:before="60" w:line="320"/>
      </w:pPr>
      <w:r>
        <w:rPr>
          <w:rFonts w:ascii="Arial" w:cs="Arial" w:eastAsia="Arial" w:hAnsi="Arial"/>
          <w:sz w:val="24"/>
          <w:szCs w:val="24"/>
        </w:rPr>
        <w:t xml:space="preserve">Pedregosa, F., Varoquaux, G., Gramfort, A., Michel, V., Thirion, B., Grisel, O., ... &amp; Duchesnay, É. (2011). Scikit-learn: Machine learning in Python. Journal of Machine Learning Research, 12, 2825–2830.</w:t>
      </w:r>
    </w:p>
    <w:p>
      <w:pPr>
        <w:pStyle w:val="ListParagraph"/>
        <w:numPr>
          <w:ilvl w:val="0"/>
          <w:numId w:val="1"/>
        </w:numPr>
        <w:spacing w:after="60" w:before="60" w:line="320"/>
      </w:pPr>
      <w:r>
        <w:rPr>
          <w:rFonts w:ascii="Arial" w:cs="Arial" w:eastAsia="Arial" w:hAnsi="Arial"/>
          <w:sz w:val="24"/>
          <w:szCs w:val="24"/>
        </w:rPr>
        <w:t xml:space="preserve">Eclipse Foundation. (2024). Eclipse Mosquitto: An open source MQTT broker. Retrieved from https://mosquitto.org</w:t>
      </w:r>
    </w:p>
    <w:p>
      <w:pPr>
        <w:pStyle w:val="ListParagraph"/>
        <w:numPr>
          <w:ilvl w:val="0"/>
          <w:numId w:val="1"/>
        </w:numPr>
        <w:spacing w:after="60" w:before="60" w:line="320"/>
      </w:pPr>
      <w:r>
        <w:rPr>
          <w:rFonts w:ascii="Arial" w:cs="Arial" w:eastAsia="Arial" w:hAnsi="Arial"/>
          <w:sz w:val="24"/>
          <w:szCs w:val="24"/>
        </w:rPr>
        <w:t xml:space="preserve">Supabase, Inc. (2024). Supabase documentation. Retrieved from https://supabase.com/docs</w:t>
      </w:r>
    </w:p>
    <w:p>
      <w:pPr>
        <w:pStyle w:val="ListParagraph"/>
        <w:numPr>
          <w:ilvl w:val="0"/>
          <w:numId w:val="1"/>
        </w:numPr>
        <w:spacing w:after="60" w:before="60" w:line="320"/>
      </w:pPr>
      <w:r>
        <w:rPr>
          <w:rFonts w:ascii="Arial" w:cs="Arial" w:eastAsia="Arial" w:hAnsi="Arial"/>
          <w:sz w:val="24"/>
          <w:szCs w:val="24"/>
        </w:rPr>
        <w:t xml:space="preserve">Pallets Projects. (2024). Flask documentation (3.x). Retrieved from https://flask.palletsprojects.com</w:t>
      </w:r>
    </w:p>
    <w:p>
      <w:pPr>
        <w:pStyle w:val="ListParagraph"/>
        <w:numPr>
          <w:ilvl w:val="0"/>
          <w:numId w:val="1"/>
        </w:numPr>
        <w:spacing w:after="60" w:before="60" w:line="320"/>
      </w:pPr>
      <w:r>
        <w:rPr>
          <w:rFonts w:ascii="Arial" w:cs="Arial" w:eastAsia="Arial" w:hAnsi="Arial"/>
          <w:sz w:val="24"/>
          <w:szCs w:val="24"/>
        </w:rPr>
        <w:t xml:space="preserve">Meta Platforms. (2024). React — The library for web and native user interfaces. Retrieved from https://react.dev</w:t>
      </w:r>
    </w:p>
    <w:p>
      <w:pPr>
        <w:pStyle w:val="ListParagraph"/>
        <w:numPr>
          <w:ilvl w:val="0"/>
          <w:numId w:val="1"/>
        </w:numPr>
        <w:spacing w:after="60" w:before="60" w:line="320"/>
      </w:pPr>
      <w:r>
        <w:rPr>
          <w:rFonts w:ascii="Arial" w:cs="Arial" w:eastAsia="Arial" w:hAnsi="Arial"/>
          <w:sz w:val="24"/>
          <w:szCs w:val="24"/>
        </w:rPr>
        <w:t xml:space="preserve">Google LLC. (2024). Flutter SDK documentation. Retrieved from https://docs.flutter.dev</w:t>
      </w:r>
    </w:p>
    <w:p>
      <w:r>
        <w:br w:type="page"/>
      </w:r>
    </w:p>
    <w:p>
      <w:pPr>
        <w:pStyle w:val="Heading1"/>
        <w:spacing w:after="180" w:before="360"/>
      </w:pPr>
      <w:r>
        <w:rPr>
          <w:rFonts w:ascii="Arial" w:cs="Arial" w:eastAsia="Arial" w:hAnsi="Arial"/>
          <w:b/>
          <w:bCs/>
          <w:sz w:val="32"/>
          <w:szCs w:val="32"/>
        </w:rPr>
        <w:t xml:space="preserve">Step 9 — Grammar &amp; Flow Corrections (Chapter 4 Passages)</w:t>
      </w:r>
    </w:p>
    <w:p>
      <w:pPr>
        <w:spacing w:after="140" w:before="100" w:line="360"/>
        <w:jc w:val="both"/>
      </w:pPr>
      <w:r>
        <w:rPr>
          <w:rFonts w:ascii="Arial" w:cs="Arial" w:eastAsia="Arial" w:hAnsi="Arial"/>
          <w:sz w:val="24"/>
          <w:szCs w:val="24"/>
        </w:rPr>
        <w:t xml:space="preserve">The following passages from your current draft contain grammar issues, redundant phrases, or colloquial constructions that should be corrected before submission. Each correction is shown as [Original] → [Corrected].</w:t>
      </w:r>
    </w:p>
    <w:p>
      <w:pPr>
        <w:spacing w:after="80" w:before="0"/>
      </w:pPr>
      <w:r>
        <w:t xml:space="preserve"/>
      </w:r>
    </w:p>
    <w:p>
      <w:pPr>
        <w:spacing w:after="40" w:before="120"/>
      </w:pPr>
      <w:r>
        <w:rPr>
          <w:rFonts w:ascii="Arial" w:cs="Arial" w:eastAsia="Arial" w:hAnsi="Arial"/>
          <w:b/>
          <w:bCs/>
          <w:color w:val="2B5EA7"/>
          <w:sz w:val="22"/>
          <w:szCs w:val="22"/>
        </w:rPr>
        <w:t xml:space="preserve">§4.2 (original)</w:t>
      </w:r>
    </w:p>
    <w:p>
      <w:pPr>
        <w:spacing w:after="40" w:before="40"/>
        <w:ind w:left="360"/>
      </w:pPr>
      <w:r>
        <w:rPr>
          <w:rFonts w:ascii="Arial" w:cs="Arial" w:eastAsia="Arial" w:hAnsi="Arial"/>
          <w:b/>
          <w:bCs/>
          <w:color w:val="DC2626"/>
          <w:sz w:val="22"/>
          <w:szCs w:val="22"/>
        </w:rPr>
        <w:t xml:space="preserve">Original: </w:t>
      </w:r>
      <w:r>
        <w:rPr>
          <w:rFonts w:ascii="Arial" w:cs="Arial" w:eastAsia="Arial" w:hAnsi="Arial"/>
          <w:i/>
          <w:iCs/>
          <w:sz w:val="22"/>
          <w:szCs w:val="22"/>
        </w:rPr>
        <w:t xml:space="preserve">"The system is designed to be modular, making it easy to maintain and expand in the future."</w:t>
      </w:r>
    </w:p>
    <w:p>
      <w:pPr>
        <w:spacing w:after="140" w:before="40"/>
        <w:ind w:left="360"/>
      </w:pPr>
      <w:r>
        <w:rPr>
          <w:rFonts w:ascii="Arial" w:cs="Arial" w:eastAsia="Arial" w:hAnsi="Arial"/>
          <w:b/>
          <w:bCs/>
          <w:color w:val="16A34A"/>
          <w:sz w:val="22"/>
          <w:szCs w:val="22"/>
        </w:rPr>
        <w:t xml:space="preserve">Corrected: </w:t>
      </w:r>
      <w:r>
        <w:rPr>
          <w:rFonts w:ascii="Arial" w:cs="Arial" w:eastAsia="Arial" w:hAnsi="Arial"/>
          <w:sz w:val="22"/>
          <w:szCs w:val="22"/>
        </w:rPr>
        <w:t xml:space="preserve">"The system is designed with modularity as a primary architectural concern, thereby reducing maintenance overhead and enabling independent extension of individual components without necessitating changes to the broader system."</w:t>
      </w:r>
    </w:p>
    <w:p>
      <w:pPr>
        <w:spacing w:after="40" w:before="120"/>
      </w:pPr>
      <w:r>
        <w:rPr>
          <w:rFonts w:ascii="Arial" w:cs="Arial" w:eastAsia="Arial" w:hAnsi="Arial"/>
          <w:b/>
          <w:bCs/>
          <w:color w:val="2B5EA7"/>
          <w:sz w:val="22"/>
          <w:szCs w:val="22"/>
        </w:rPr>
        <w:t xml:space="preserve">§4.3 (original)</w:t>
      </w:r>
    </w:p>
    <w:p>
      <w:pPr>
        <w:spacing w:after="40" w:before="40"/>
        <w:ind w:left="360"/>
      </w:pPr>
      <w:r>
        <w:rPr>
          <w:rFonts w:ascii="Arial" w:cs="Arial" w:eastAsia="Arial" w:hAnsi="Arial"/>
          <w:b/>
          <w:bCs/>
          <w:color w:val="DC2626"/>
          <w:sz w:val="22"/>
          <w:szCs w:val="22"/>
        </w:rPr>
        <w:t xml:space="preserve">Original: </w:t>
      </w:r>
      <w:r>
        <w:rPr>
          <w:rFonts w:ascii="Arial" w:cs="Arial" w:eastAsia="Arial" w:hAnsi="Arial"/>
          <w:i/>
          <w:iCs/>
          <w:sz w:val="22"/>
          <w:szCs w:val="22"/>
        </w:rPr>
        <w:t xml:space="preserve">"The use case diagram shows all the actors and what they can do."</w:t>
      </w:r>
    </w:p>
    <w:p>
      <w:pPr>
        <w:spacing w:after="140" w:before="40"/>
        <w:ind w:left="360"/>
      </w:pPr>
      <w:r>
        <w:rPr>
          <w:rFonts w:ascii="Arial" w:cs="Arial" w:eastAsia="Arial" w:hAnsi="Arial"/>
          <w:b/>
          <w:bCs/>
          <w:color w:val="16A34A"/>
          <w:sz w:val="22"/>
          <w:szCs w:val="22"/>
        </w:rPr>
        <w:t xml:space="preserve">Corrected: </w:t>
      </w:r>
      <w:r>
        <w:rPr>
          <w:rFonts w:ascii="Arial" w:cs="Arial" w:eastAsia="Arial" w:hAnsi="Arial"/>
          <w:sz w:val="22"/>
          <w:szCs w:val="22"/>
        </w:rPr>
        <w:t xml:space="preserve">"The use case diagram in Figure 4.2 delineates the system actors — Passenger, Ground Staff, Administrator, and the IoT Simulation Device — alongside the functional operations available to each, as derived from the requirements specification in Chapter 3."</w:t>
      </w:r>
    </w:p>
    <w:p>
      <w:pPr>
        <w:spacing w:after="40" w:before="120"/>
      </w:pPr>
      <w:r>
        <w:rPr>
          <w:rFonts w:ascii="Arial" w:cs="Arial" w:eastAsia="Arial" w:hAnsi="Arial"/>
          <w:b/>
          <w:bCs/>
          <w:color w:val="2B5EA7"/>
          <w:sz w:val="22"/>
          <w:szCs w:val="22"/>
        </w:rPr>
        <w:t xml:space="preserve">§4.4 (original)</w:t>
      </w:r>
    </w:p>
    <w:p>
      <w:pPr>
        <w:spacing w:after="40" w:before="40"/>
        <w:ind w:left="360"/>
      </w:pPr>
      <w:r>
        <w:rPr>
          <w:rFonts w:ascii="Arial" w:cs="Arial" w:eastAsia="Arial" w:hAnsi="Arial"/>
          <w:b/>
          <w:bCs/>
          <w:color w:val="DC2626"/>
          <w:sz w:val="22"/>
          <w:szCs w:val="22"/>
        </w:rPr>
        <w:t xml:space="preserve">Original: </w:t>
      </w:r>
      <w:r>
        <w:rPr>
          <w:rFonts w:ascii="Arial" w:cs="Arial" w:eastAsia="Arial" w:hAnsi="Arial"/>
          <w:i/>
          <w:iCs/>
          <w:sz w:val="22"/>
          <w:szCs w:val="22"/>
        </w:rPr>
        <w:t xml:space="preserve">"The database has 10 tables that store everything the system needs."</w:t>
      </w:r>
    </w:p>
    <w:p>
      <w:pPr>
        <w:spacing w:after="140" w:before="40"/>
        <w:ind w:left="360"/>
      </w:pPr>
      <w:r>
        <w:rPr>
          <w:rFonts w:ascii="Arial" w:cs="Arial" w:eastAsia="Arial" w:hAnsi="Arial"/>
          <w:b/>
          <w:bCs/>
          <w:color w:val="16A34A"/>
          <w:sz w:val="22"/>
          <w:szCs w:val="22"/>
        </w:rPr>
        <w:t xml:space="preserve">Corrected: </w:t>
      </w:r>
      <w:r>
        <w:rPr>
          <w:rFonts w:ascii="Arial" w:cs="Arial" w:eastAsia="Arial" w:hAnsi="Arial"/>
          <w:sz w:val="22"/>
          <w:szCs w:val="22"/>
        </w:rPr>
        <w:t xml:space="preserve">"The database schema comprises ten relational tables partitioned across three functional domains: the core baggage tracking domain (bags, events, anomalies, bag_status_history, arrival_subscriptions), the passenger experience domain (feedback, checkpoint_advisories, flight_carousels), and the account management domain (users, password_reset_tokens)."</w:t>
      </w:r>
    </w:p>
    <w:p>
      <w:pPr>
        <w:spacing w:after="40" w:before="120"/>
      </w:pPr>
      <w:r>
        <w:rPr>
          <w:rFonts w:ascii="Arial" w:cs="Arial" w:eastAsia="Arial" w:hAnsi="Arial"/>
          <w:b/>
          <w:bCs/>
          <w:color w:val="2B5EA7"/>
          <w:sz w:val="22"/>
          <w:szCs w:val="22"/>
        </w:rPr>
        <w:t xml:space="preserve">§4.5 (original)</w:t>
      </w:r>
    </w:p>
    <w:p>
      <w:pPr>
        <w:spacing w:after="40" w:before="40"/>
        <w:ind w:left="360"/>
      </w:pPr>
      <w:r>
        <w:rPr>
          <w:rFonts w:ascii="Arial" w:cs="Arial" w:eastAsia="Arial" w:hAnsi="Arial"/>
          <w:b/>
          <w:bCs/>
          <w:color w:val="DC2626"/>
          <w:sz w:val="22"/>
          <w:szCs w:val="22"/>
        </w:rPr>
        <w:t xml:space="preserve">Original: </w:t>
      </w:r>
      <w:r>
        <w:rPr>
          <w:rFonts w:ascii="Arial" w:cs="Arial" w:eastAsia="Arial" w:hAnsi="Arial"/>
          <w:i/>
          <w:iCs/>
          <w:sz w:val="22"/>
          <w:szCs w:val="22"/>
        </w:rPr>
        <w:t xml:space="preserve">"The interface is clean and easy to use."</w:t>
      </w:r>
    </w:p>
    <w:p>
      <w:pPr>
        <w:spacing w:after="140" w:before="40"/>
        <w:ind w:left="360"/>
      </w:pPr>
      <w:r>
        <w:rPr>
          <w:rFonts w:ascii="Arial" w:cs="Arial" w:eastAsia="Arial" w:hAnsi="Arial"/>
          <w:b/>
          <w:bCs/>
          <w:color w:val="16A34A"/>
          <w:sz w:val="22"/>
          <w:szCs w:val="22"/>
        </w:rPr>
        <w:t xml:space="preserve">Corrected: </w:t>
      </w:r>
      <w:r>
        <w:rPr>
          <w:rFonts w:ascii="Arial" w:cs="Arial" w:eastAsia="Arial" w:hAnsi="Arial"/>
          <w:sz w:val="22"/>
          <w:szCs w:val="22"/>
        </w:rPr>
        <w:t xml:space="preserve">"The interface adheres to a minimal visual design system characterised by a consistent typographic hierarchy, semantic colour coding for bag status and anomaly severity, and role-stratified navigation that suppresses controls unavailable to the authenticated user's role."</w:t>
      </w:r>
    </w:p>
    <w:p>
      <w:r>
        <w:br w:type="page"/>
      </w:r>
    </w:p>
    <w:p>
      <w:pPr>
        <w:pStyle w:val="Heading1"/>
        <w:spacing w:after="180" w:before="360"/>
      </w:pPr>
      <w:r>
        <w:rPr>
          <w:rFonts w:ascii="Arial" w:cs="Arial" w:eastAsia="Arial" w:hAnsi="Arial"/>
          <w:b/>
          <w:bCs/>
          <w:sz w:val="32"/>
          <w:szCs w:val="32"/>
        </w:rPr>
        <w:t xml:space="preserve">Step 10 — Pre-Submission Checklist</w:t>
      </w:r>
    </w:p>
    <w:p>
      <w:pPr>
        <w:spacing w:after="140" w:before="100" w:line="360"/>
        <w:jc w:val="both"/>
      </w:pPr>
      <w:r>
        <w:rPr>
          <w:rFonts w:ascii="Arial" w:cs="Arial" w:eastAsia="Arial" w:hAnsi="Arial"/>
          <w:sz w:val="24"/>
          <w:szCs w:val="24"/>
        </w:rPr>
        <w:t xml:space="preserve">Use the checklist below before submitting Chapter 4. Each item maps to a specific examiner evaluation criterion or Scopus Q2 editorial standard.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2826"/>
      </w:tblGrid>
      <w:tr>
        <w:trPr>
          <w:tblHeader/>
        </w:trPr>
        <w:tc>
          <w:tcPr>
            <w:tcW w:type="dxa" w:w="6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Done</w:t>
            </w:r>
          </w:p>
        </w:tc>
        <w:tc>
          <w:tcPr>
            <w:tcW w:type="dxa" w:w="5600"/>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Checklist Item</w:t>
            </w:r>
          </w:p>
        </w:tc>
        <w:tc>
          <w:tcPr>
            <w:tcW w:type="dxa" w:w="2826"/>
            <w:tcBorders>
              <w:top w:val="single" w:color="CCCCCC" w:sz="1"/>
              <w:left w:val="single" w:color="CCCCCC" w:sz="1"/>
              <w:bottom w:val="single" w:color="CCCCCC" w:sz="1"/>
              <w:right w:val="single" w:color="CCCCCC" w:sz="1"/>
            </w:tcBorders>
            <w:shd w:fill="2B5EA7" w:val="clear"/>
            <w:tcMar>
              <w:top w:type="dxa" w:w="80"/>
              <w:left w:type="dxa" w:w="160"/>
              <w:bottom w:type="dxa" w:w="80"/>
              <w:right w:type="dxa" w:w="160"/>
            </w:tcMar>
          </w:tcPr>
          <w:p>
            <w:r>
              <w:rPr>
                <w:rFonts w:ascii="Arial" w:cs="Arial" w:eastAsia="Arial" w:hAnsi="Arial"/>
                <w:b/>
                <w:bCs/>
                <w:color w:val="FFFFFF"/>
                <w:sz w:val="22"/>
                <w:szCs w:val="22"/>
              </w:rPr>
              <w:t xml:space="preserve">Maps To</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Rename §4.2 to 4.2 High-Level Design → 4.2.1 System Architecture</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Template compliance</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Add §4.2.2(b) Input Design with Table A2 or equivalent</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Template compliance — missing section</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§4.2.2(c) Output Design with Table A3 or equivalent</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Template compliance — missing section</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Reproduce ERD within §4.2.3 (may reference Ch3 Fig 3.3 but must appear here too)</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Template compliance — DB design section</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DDL or data dictionary to §4.3.2 Physical Database Design</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Template compliance — thin section</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Draw and insert all 6 sequence diagrams (Figures 4.4–4.9) referenced in Table 4.2</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Completeness — referenced but absent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citation for Isolation Forest / Liu et al. 2008</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Citation audit — Table A5 #2</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Add citation for scikit-learn / Pedregosa et al. 2011</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Citation audit — Table A5 #4</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citations for React, Vite, Flutter, Supabase, Flask, Mosquitto</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Citation audit — Table A5 #5–7</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Insert rewritten §4.1 Introduction (Step 3 text above)</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Academic tone</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Insert Review Methodology subsection into Chapter 2 (Step 4 text above)</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Scopus Q2 standard</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Replace grammar-flagged passages with Step 9 corrected text</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Academic tone</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Insert Abstract (Step 2 text) after reviewing against Chapter 5 results</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Completeness</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Add all 7 bibliography entries from Step 8</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Reference list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Add index keywords from Step 0 to submission metadata or front matter</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Discoverability</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Verify all figure numbers are sequential and referenced in body text</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Formatting</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Verify all table numbers are sequential and captioned consistently</w:t>
            </w:r>
          </w:p>
        </w:tc>
        <w:tc>
          <w:tcPr>
            <w:tcW w:type="dxa" w:w="2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sz w:val="22"/>
                <w:szCs w:val="22"/>
              </w:rPr>
              <w:t xml:space="preserve">Formatting</w:t>
            </w:r>
          </w:p>
        </w:tc>
      </w:tr>
      <w:tr>
        <w:tc>
          <w:tcPr>
            <w:tcW w:type="dxa" w:w="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8"/>
                <w:szCs w:val="28"/>
              </w:rPr>
              <w:t xml:space="preserve">☐</w:t>
            </w:r>
          </w:p>
        </w:tc>
        <w:tc>
          <w:tcPr>
            <w:tcW w:type="dxa" w:w="5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Confirm FSM State Diagram (Figure 4.3) is updated to reflect CLAIMED state decision</w:t>
            </w:r>
          </w:p>
        </w:tc>
        <w:tc>
          <w:tcPr>
            <w:tcW w:type="dxa" w:w="2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Accuracy — pending design decision</w:t>
            </w:r>
          </w:p>
        </w:tc>
      </w:tr>
    </w:tbl>
    <w:p>
      <w:pPr>
        <w:spacing w:after="160" w:before="80"/>
        <w:jc w:val="center"/>
      </w:pPr>
      <w:r>
        <w:rPr>
          <w:rFonts w:ascii="Arial" w:cs="Arial" w:eastAsia="Arial" w:hAnsi="Arial"/>
          <w:i/>
          <w:iCs/>
          <w:color w:val="444444"/>
          <w:sz w:val="22"/>
          <w:szCs w:val="22"/>
        </w:rPr>
        <w:t xml:space="preserve">Table A6. Pre-submission checklist for Chapter 4 (SkyWatcher FYP PSM 2025/2026).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B032310853 | UTeM FTMK | PSM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EA7" w:sz="4" w:space="4"/>
      </w:pBdr>
      <w:jc w:val="right"/>
    </w:pPr>
    <w:r>
      <w:rPr>
        <w:rFonts w:ascii="Arial" w:cs="Arial" w:eastAsia="Arial" w:hAnsi="Arial"/>
        <w:color w:val="666666"/>
        <w:sz w:val="18"/>
        <w:szCs w:val="18"/>
      </w:rPr>
      <w:t xml:space="preserve">SkyWatcher — FYP Chapter 4 Academic Enhancement (Scopus Q2)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5EA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2026-06-20T17:08:14.494Z</dcterms:created>
  <dcterms:modified xsi:type="dcterms:W3CDTF">2026-06-20T17:08:14.498Z</dcterms:modified>
</cp:coreProperties>
</file>

<file path=docProps/custom.xml><?xml version="1.0" encoding="utf-8"?>
<Properties xmlns="http://schemas.openxmlformats.org/officeDocument/2006/custom-properties" xmlns:vt="http://schemas.openxmlformats.org/officeDocument/2006/docPropsVTypes"/>
</file>