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Figures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bCs/>
        </w:rPr>
        <w:t xml:space="preserve">Figure S3. Robust analysis of the Boolean model with carrying capacity.</w:t>
      </w:r>
      <w:r>
        <w:t xml:space="preserve"> Latin hypercube sampling (log-uniform) of the parameters, initial concentrations, and observational time of the phage–bacteria model with bacterial carrying capacity; only simulations that remained within the physical bounds for the full observational window are shown (n = 1,000 for α = 0.1). </w:t>
      </w:r>
      <w:r>
        <w:rPr>
          <w:b/>
          <w:bCs/>
        </w:rPr>
        <w:t xml:space="preserve">a)</w:t>
      </w:r>
      <w:r>
        <w:t xml:space="preserve"> Histogram of the mean combined relative error (%) between the transient (Boolean) and full models at α = 0.1; the bar labeled 0 counts runs with zero error (all processes relevant throughout), the dashed line marks the median, and the solid black line marks the observer tolerance (10%, corresponding to α = 0.1). </w:t>
      </w:r>
      <w:r>
        <w:rPr>
          <w:b/>
          <w:bCs/>
        </w:rPr>
        <w:t xml:space="preserve">b)</w:t>
      </w:r>
      <w:r>
        <w:t xml:space="preserve"> Fraction of the observational time that each run spent with 0 to 5 relevant processes (weight w ≥ 1) at α = 0.1; violins show the distribution across runs, gray points are a random sample of 200 runs, and the numbers on top (n) are the runs that spent any time with that number of relevant processes. </w:t>
      </w:r>
      <w:r>
        <w:rPr>
          <w:b/>
          <w:bCs/>
        </w:rPr>
        <w:t xml:space="preserve">c)</w:t>
      </w:r>
      <w:r>
        <w:t xml:space="preserve"> Top, box plots of the mean combined relative error for α = 10</w:t>
      </w:r>
      <w:r>
        <w:rPr>
          <w:vertAlign w:val="superscript"/>
        </w:rPr>
        <w:t xml:space="preserve">−5</w:t>
      </w:r>
      <w:r>
        <w:t xml:space="preserve"> to 1 (box, interquartile range, IQR; line, median; whiskers, 1.5 × IQR; points, values beyond the whiskers), with the mean (◆) and the observer tolerance, 100·α % (dashed line); zero errors are drawn at the bottom of the axis, labeled 0. Bottom, mean ± standard deviation of the fraction of observational time with all 5 processes relevant. Extreme outliers (Tukey's far-out test, above Q3 + 3 × IQR of log</w:t>
      </w:r>
      <w:r>
        <w:rPr>
          <w:vertAlign w:val="subscript"/>
        </w:rPr>
        <w:t xml:space="preserve">10</w:t>
      </w:r>
      <w:r>
        <w:t xml:space="preserve"> error) are excluded from the statistics and, when present, shown in ochre.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bCs/>
        </w:rPr>
        <w:t xml:space="preserve">Figure S4. Robust analysis of the Boolean model for stopped simulations.</w:t>
      </w:r>
      <w:r>
        <w:t xml:space="preserve"> Latin hypercube sampling (log-uniform) of the parameters, initial concentrations, and observational time of the phage–bacteria (Lotka–Volterra) model; only simulations that were stopped because a population left the physical bounds before the end of the observational window are shown, and both models are compared up to the stop time (n = 6,290 for α = 0.1). </w:t>
      </w:r>
      <w:r>
        <w:rPr>
          <w:b/>
          <w:bCs/>
        </w:rPr>
        <w:t xml:space="preserve">a)</w:t>
      </w:r>
      <w:r>
        <w:t xml:space="preserve"> Histogram of the mean combined relative error (%) between the transient (Boolean) and full models at α = 0.1, calculated over the simulated portion of each trajectory; the bar labeled 0 counts runs with zero error (all processes relevant throughout), the dashed line marks the median, and the solid black line marks the observer tolerance (10%, corresponding to α = 0.1). </w:t>
      </w:r>
      <w:r>
        <w:rPr>
          <w:b/>
          <w:bCs/>
        </w:rPr>
        <w:t xml:space="preserve">b)</w:t>
      </w:r>
      <w:r>
        <w:t xml:space="preserve"> Fraction of the simulated time that each run spent with 0 to 4 relevant processes (weight w ≥ 1) at α = 0.1; violins show the distribution across runs, gray points are a random sample of 200 runs, and the numbers on top (n) are the runs that spent any time with that number of relevant processes. </w:t>
      </w:r>
      <w:r>
        <w:rPr>
          <w:b/>
          <w:bCs/>
        </w:rPr>
        <w:t xml:space="preserve">c)</w:t>
      </w:r>
      <w:r>
        <w:t xml:space="preserve"> Top, box plots of the mean combined relative error for α = 10</w:t>
      </w:r>
      <w:r>
        <w:rPr>
          <w:vertAlign w:val="superscript"/>
        </w:rPr>
        <w:t xml:space="preserve">−5</w:t>
      </w:r>
      <w:r>
        <w:t xml:space="preserve"> to 1 (box, interquartile range, IQR; line, median; whiskers, 1.5 × IQR; points, values beyond the whiskers), with the mean (◆) and the observer tolerance, 100·α % (dashed line); zero errors are drawn at the bottom of the axis, labeled 0. Bottom, mean ± standard deviation of the fraction of simulated time with all 4 processes relevant. Extreme outliers (Tukey's far-out test, above Q3 + 3 × IQR of log</w:t>
      </w:r>
      <w:r>
        <w:rPr>
          <w:vertAlign w:val="subscript"/>
        </w:rPr>
        <w:t xml:space="preserve">10</w:t>
      </w:r>
      <w:r>
        <w:t xml:space="preserve"> error) are excluded from the statistics and, when present, shown in ochre.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bCs/>
        </w:rPr>
        <w:t xml:space="preserve">Figure S5. Robust analysis of the Boolean model with carrying capacity for stopped simulations.</w:t>
      </w:r>
      <w:r>
        <w:t xml:space="preserve"> Latin hypercube sampling (log-uniform) of the parameters, initial concentrations, and observational time of the phage–bacteria model with bacterial carrying capacity; only simulations that were stopped because a population left the physical bounds before the end of the observational window are shown, and both models are compared up to the stop time (n = 3,513 for α = 0.1). </w:t>
      </w:r>
      <w:r>
        <w:rPr>
          <w:b/>
          <w:bCs/>
        </w:rPr>
        <w:t xml:space="preserve">a)</w:t>
      </w:r>
      <w:r>
        <w:t xml:space="preserve"> Histogram of the mean combined relative error (%) between the transient (Boolean) and full models at α = 0.1, calculated over the simulated portion of each trajectory; the bar labeled 0 counts runs with zero error (all processes relevant throughout), the dashed line marks the median, and the solid black line marks the observer tolerance (10%, corresponding to α = 0.1). </w:t>
      </w:r>
      <w:r>
        <w:rPr>
          <w:b/>
          <w:bCs/>
        </w:rPr>
        <w:t xml:space="preserve">b)</w:t>
      </w:r>
      <w:r>
        <w:t xml:space="preserve"> Fraction of the simulated time that each run spent with 0 to 5 relevant processes (weight w ≥ 1) at α = 0.1; violins show the distribution across runs, gray points are a random sample of 200 runs, and the numbers on top (n) are the runs that spent any time with that number of relevant processes. </w:t>
      </w:r>
      <w:r>
        <w:rPr>
          <w:b/>
          <w:bCs/>
        </w:rPr>
        <w:t xml:space="preserve">c)</w:t>
      </w:r>
      <w:r>
        <w:t xml:space="preserve"> Top, box plots of the mean combined relative error for α = 10</w:t>
      </w:r>
      <w:r>
        <w:rPr>
          <w:vertAlign w:val="superscript"/>
        </w:rPr>
        <w:t xml:space="preserve">−5</w:t>
      </w:r>
      <w:r>
        <w:t xml:space="preserve"> to 1 (box, interquartile range, IQR; line, median; whiskers, 1.5 × IQR; points, values beyond the whiskers), with the mean (◆) and the observer tolerance, 100·α % (dashed line); zero errors are drawn at the bottom of the axis, labeled 0. Bottom, mean ± standard deviation of the fraction of simulated time with all 5 processes relevant. Extreme outliers (Tukey's far-out test, above Q3 + 3 × IQR of log</w:t>
      </w:r>
      <w:r>
        <w:rPr>
          <w:vertAlign w:val="subscript"/>
        </w:rPr>
        <w:t xml:space="preserve">10</w:t>
      </w:r>
      <w:r>
        <w:t xml:space="preserve"> error) are excluded from the statistics and, when present, shown in ochre.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bCs/>
        </w:rPr>
        <w:t xml:space="preserve">Figure S6. Example of the extreme outlier with carrying capacity: persistent delay.</w:t>
      </w:r>
      <w:r>
        <w:t xml:space="preserve"> Simulation 178 of the robust analysis of the model with carrying capacity at α = 0.1 (mean combined relative error 8.6 × 10</w:t>
      </w:r>
      <w:r>
        <w:rPr>
          <w:vertAlign w:val="superscript"/>
        </w:rPr>
        <w:t xml:space="preserve">5</w:t>
      </w:r>
      <w:r>
        <w:t xml:space="preserve">%; extreme outlier). Blue, bacteria and bacterial processes; red, phage and phage processes; dashed black, transient (Boolean) model. </w:t>
      </w:r>
      <w:r>
        <w:rPr>
          <w:b/>
          <w:bCs/>
        </w:rPr>
        <w:t xml:space="preserve">a)</w:t>
      </w:r>
      <w:r>
        <w:t xml:space="preserve"> Bacteria and phage concentrations over the full observational window for the full (solid) and transient (dashed) models; the shaded interval marks the last cycles shown in b–d. </w:t>
      </w:r>
      <w:r>
        <w:rPr>
          <w:b/>
          <w:bCs/>
        </w:rPr>
        <w:t xml:space="preserve">b)</w:t>
      </w:r>
      <w:r>
        <w:t xml:space="preserve"> Concentrations over the last cycles, showing the delay accumulated by the transient model. </w:t>
      </w:r>
      <w:r>
        <w:rPr>
          <w:b/>
          <w:bCs/>
        </w:rPr>
        <w:t xml:space="preserve">c)</w:t>
      </w:r>
      <w:r>
        <w:t xml:space="preserve"> Number of relevant processes (w ≥ 1) in the full (solid gray) and transient (dashed) models. </w:t>
      </w:r>
      <w:r>
        <w:rPr>
          <w:b/>
          <w:bCs/>
        </w:rPr>
        <w:t xml:space="preserve">d)</w:t>
      </w:r>
      <w:r>
        <w:t xml:space="preserve"> Weight of each process in the full (colored) and transient (dashed) models; the gray band marks irrelevant weights (w &lt; 1), and the solid line marks the threshold w =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551d369909b341b495a647ca8879c35c12ac33.png"/><Relationship Id="rId8" Type="http://schemas.openxmlformats.org/officeDocument/2006/relationships/image" Target="media/8b8464f7ff19607ef9c424947656412d64101ad7.png"/><Relationship Id="rId9" Type="http://schemas.openxmlformats.org/officeDocument/2006/relationships/image" Target="media/22c1b32d34c801f9847c8d4a8391eed45125345a.png"/><Relationship Id="rId10" Type="http://schemas.openxmlformats.org/officeDocument/2006/relationships/image" Target="media/f1b10b3cebb5a536c5f5a34e38da020c8b5a74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2026-10-30T02:08:51.251Z</dcterms:created>
  <dcterms:modified xsi:type="dcterms:W3CDTF">2026-10-30T02:08:51.251Z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