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Manga não é manga - 27/06/2024</w:t>
        <w:br/>
      </w:r>
    </w:p>
    <w:p>
      <w:r>
        <w:t>_Tenta abordar a distinção entre definição e descrição e como ela pode</w:t>
        <w:br/>
        <w:t>esclarecer problemas de linguagem**[i]**_</w:t>
        <w:br/>
        <w:br/>
        <w:t>Nós comentamos que “não podemos sentir a dor do outro”. Eu não posso sentir a</w:t>
        <w:br/>
        <w:t>sua dor de dentes. Ocorre que essa impossibilidade é lógica e tentaremos</w:t>
        <w:br/>
        <w:t>elucidar. E, para isso, voltaremos ao contexto.</w:t>
        <w:br/>
        <w:br/>
        <w:t>Vejamos um exemplo: “manga não é manga”. Essa sentença faz todo o sentido se</w:t>
        <w:br/>
        <w:t>estivermos usando os termos para falar da vestimenta e da fruta. Mas se</w:t>
        <w:br/>
        <w:t>assumirmos a convenção de que a manga da camisa não é mais somente manga, mas</w:t>
        <w:br/>
        <w:t>“manga da camisa”, então “manga seria sempre manga”, isto é, a fruta.</w:t>
        <w:br/>
        <w:br/>
        <w:t>Nós podemos notar, com esse caso, que uma sentença pode ser verdadeira ou</w:t>
        <w:br/>
        <w:t>falsa dependendo do contexto, mas isso porque estamos nos referindo a algo no</w:t>
        <w:br/>
        <w:t>mundo, estamos tratando de sentenças que descrevem fatos, “descritivas”.</w:t>
        <w:br/>
        <w:br/>
        <w:t>Por outro lado, não dá para dizer que “ele caiu para cima”, pelo menos aqui na</w:t>
        <w:br/>
        <w:t>terra e em se tratando do contexto físico. Essa é uma definição, uma regra que</w:t>
        <w:br/>
        <w:t>não é verdadeira nem falsa. Dizer que “caiu para cima” é uma impossibilidade</w:t>
        <w:br/>
        <w:t>lógica, assim como dizer que a “bola não é bola”.</w:t>
        <w:br/>
        <w:br/>
        <w:t>Há, em Wittgenstein, de acordo com Nara, essa impossibilidade lógica e é</w:t>
        <w:br/>
        <w:t>exatamente essa impossibilidade lógica que faz com que “eu não possa sentir a</w:t>
        <w:br/>
        <w:t>sua dor de dente”, porque partimos de uma regra de que há uma dor interna de</w:t>
        <w:br/>
        <w:t>cada um. Mas se essa regra é flexibilizada e você me diz que está sentindo</w:t>
        <w:br/>
        <w:t>aquele dor de “raspar o dente para retirar uma cárie”, então eu posso dizer</w:t>
        <w:br/>
        <w:t>que já senti essa dor e, então, nós sentimos a mesma dor.</w:t>
        <w:br/>
        <w:br/>
        <w:t>Seria esse argumento, se bem eu entendi até agora, que versa contra a</w:t>
        <w:br/>
        <w:t>linguagem privada, ou uma dor não compartilhada, ou um ego intransponível que</w:t>
        <w:br/>
        <w:t>beira o solipsismo. Isso tudo é um problema de linguagem. Se fizermos a</w:t>
        <w:br/>
        <w:t>análise da linguagem, dos usos termos, veremos que muitos conceitos caem e a</w:t>
        <w:br/>
        <w:t>metafísica pode se esfarelar. Mas esse trabalho é árduo e complicado e nosso</w:t>
        <w:br/>
        <w:t>entendimento do problema ainda é igual ao de um bebezinho que aponta para as</w:t>
        <w:br/>
        <w:t>coisas.</w:t>
        <w:br/>
        <w:br/>
        <w:t xml:space="preserve">  </w:t>
        <w:br/>
        <w:br/>
        <w:t>* * *</w:t>
        <w:br/>
        <w:br/>
        <w:t>[i] Essas últimas observações têm se baseado no “ESTUDO SOBRE REGRAS E</w:t>
        <w:br/>
        <w:t>LINGUAGEM PRIVADA”, de Nara Miranda de Figueiredo, conforme referido em</w:t>
        <w:br/>
        <w:t>&lt;https://www.reflexoesdofilosofo.blog.br/2024/06/apontar-nao-e-nada.html&gt;. Os</w:t>
        <w:br/>
        <w:t>erros de compreensão são meus, pois ainda são notas muito embrionárias de quem</w:t>
        <w:br/>
        <w:t>está com pouco tempo.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