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Tratado das Categorias de Aristóteles: alguns aspectos* - 02/05/2016</w:t>
        <w:br/>
      </w:r>
    </w:p>
    <w:p>
      <w:r>
        <w:t>O tratado das categorias é a primeira metafísica de Aristóteles [1].</w:t>
        <w:br/>
        <w:t>Investiga-se nele as coisas mesmas, sob sua própria perspectiva, já que o _ser</w:t>
        <w:br/>
        <w:t>se dá_ de muitos modos – sob as formas das categorias. Assim, as categorias</w:t>
        <w:br/>
        <w:t>são os tipos básicos de ser (de modo realista): substância, qualidade,</w:t>
        <w:br/>
        <w:t>relação, quantidade, etc., e Aristóteles utiliza o seu esquema de apreensão do</w:t>
        <w:br/>
        <w:t>mundo de modo a classificar as coisas.</w:t>
        <w:br/>
        <w:br/>
        <w:t>O tratado começa de forma _ex-abrupta_ , definindo as coisas como termos</w:t>
        <w:br/>
        <w:t>homônimos, sinônimos e parônimos. Coisas homônimas têm mesmo nome e definição</w:t>
        <w:br/>
        <w:t>distinta: por exemplo, banco como instituição financeira ou o banco da praça</w:t>
        <w:br/>
        <w:t>[2]. Coisas sinônimas têm mesmo nome e mesma definição (natureza,</w:t>
        <w:br/>
        <w:t>essência...): desse modo um ser humano e um boi são chamados de animais [3].</w:t>
        <w:br/>
        <w:t>Já as coisas parônimas não são termos e não passam de uma derivação</w:t>
        <w:br/>
        <w:t>linguística que não terá destaque na obra do Filósofo (ex. coragem: corajoso).</w:t>
        <w:br/>
        <w:br/>
        <w:t>Segue-se o segundo capítulo tratando das coisas que são ser (_το ον_):</w:t>
        <w:br/>
        <w:br/>
        <w:t>1.    São predicados de um substrato, mas não estão em um substrato.</w:t>
        <w:br/>
        <w:br/>
        <w:t>Ex. Sócrates é homem. Predicamos homem de Sócrates, mas não há uma humanidade</w:t>
        <w:br/>
        <w:t>em um sujeito.</w:t>
        <w:br/>
        <w:br/>
        <w:t>2.    Estão em um substrato, mas não são predicados de um substrato.</w:t>
        <w:br/>
        <w:br/>
        <w:t>Ex. uma alvura particular está em um sujeito, mas não pode ser afirmada de</w:t>
        <w:br/>
        <w:t>qualquer sujeito conhecido [4]. No caso, é um branco específico que está um</w:t>
        <w:br/>
        <w:t>sujeito, como um atributo particular. Na página 31, diz Aristóteles: “Tomemos</w:t>
        <w:br/>
        <w:t>o _branco_ como exemplo. Ora, o branco está, sem dúvida, num corpo e assim é</w:t>
        <w:br/>
        <w:t>predicado de um corpo, uma vez que um corpo, está claro, é que é chamado de</w:t>
        <w:br/>
        <w:t>_branco_. A definição, contudo, de branco nunca pode ser predicada de qualquer</w:t>
        <w:br/>
        <w:t>corpo.”</w:t>
        <w:br/>
        <w:br/>
        <w:t>3.    São ditas de um substrato e estão nele.</w:t>
        <w:br/>
        <w:br/>
        <w:t>Ex. Tipos de atributos ou classe de atributos. O conhecimento está presente na</w:t>
        <w:br/>
        <w:t>alma como um sujeito, e também é afirmado da gramática [5].</w:t>
        <w:br/>
        <w:br/>
        <w:t>4.   Não são ditas e nem estão em um substrato.</w:t>
        <w:br/>
        <w:br/>
        <w:t xml:space="preserve">Ex. indivíduos particulares. Este homem, um cavalo.  </w:t>
        <w:br/>
        <w:t xml:space="preserve">  </w:t>
        <w:br/>
        <w:br/>
        <w:t>Conforme Zingano, de (d) é dito três vezes nas _Categorias_ : tudo mais ou bem</w:t>
        <w:br/>
        <w:t>está nele ou é dito dele, do que procede a tese da dependência ontológica: “E,</w:t>
        <w:br/>
        <w:t>supondo que não houvessem substâncias primárias, seria impossível que</w:t>
        <w:br/>
        <w:t>existissem quaisquer das outras coisas” [6]. Mas, aqui, Aristóteles já passou</w:t>
        <w:br/>
        <w:t>pelas categorias e está no capítulo 5 do tratado (da substância) e, portanto,</w:t>
        <w:br/>
        <w:t>abreviaremos essa reflexão para ressaltar alguns aspectos:</w:t>
        <w:br/>
        <w:br/>
        <w:t>1. Que há uma substância primeira e que seu traço próprio é a possibilidade de receber contrários e permanecer o mesmo.</w:t>
        <w:br/>
        <w:br/>
        <w:t>2. Que, conforme Zingano, nas _Categorias  _Aristóteles faz uma ontologia regional, porque é uma ontologia da substância sensível.</w:t>
        <w:br/>
        <w:br/>
        <w:t>3. Nas _Categorias_ , a substância (_ουσια_) é uma das categorias – os indivíduos, enquanto substância primeira. Nas _Categorias_ , os indivíduos são “um isto” (_τοδε τι_).</w:t>
        <w:br/>
        <w:br/>
        <w:t>4.  Há uma substância segunda, a espécie, o gênero. Só elas são substâncias, exceto pelas primeiras, porque a definem, ao passo que, “ele corre” ou “é branco”, nada definiria da substância primária [7].</w:t>
        <w:br/>
        <w:br/>
        <w:t>_____</w:t>
        <w:br/>
        <w:br/>
        <w:t>* Conforme notas de aula de Zingano, História da Filosofia Antiga III, 2016.</w:t>
        <w:br/>
        <w:br/>
        <w:t>[1] Embora haja certa controvérsia sobre sua autoria. Zingano, argumentando a</w:t>
        <w:br/>
        <w:t>favor da autoria aristotélica, articula a questão que seria proposta por</w:t>
        <w:br/>
        <w:t>Aristóteles, qual seja: do que seria constituído o mundo, qual a sua mobília?</w:t>
        <w:br/>
        <w:t>No _Tratado das Categorias_ , a mobília do mundo seria o indivíduo, a partir</w:t>
        <w:br/>
        <w:t>de uma metafísica do concreto. Na _Metafísica_ , a mobília do mundo seriam as</w:t>
        <w:br/>
        <w:t>formas, pois elas teriam uma estabilidade mais forte, estariam nos indivíduos,</w:t>
        <w:br/>
        <w:t>mas não seriam particulares, embora fossem peças não tão materiais...</w:t>
        <w:br/>
        <w:br/>
        <w:t>[2] Cf. o [Google](http://www.dicionarioinformal.com.br/hom%C3%B4nimo/).</w:t>
        <w:br/>
        <w:br/>
        <w:t>[3] Aristóteles, _Categorias_ , tradução Edson Bini. São Paulo: EDIPRO, 2011.</w:t>
        <w:br/>
        <w:t>Pg. 25.</w:t>
        <w:br/>
        <w:br/>
        <w:t>[4] ibidem, pg. 27.</w:t>
        <w:br/>
        <w:br/>
        <w:t>[5] ibidem, pg 27.</w:t>
        <w:br/>
        <w:br/>
        <w:t>[6] ibidem, pg. 32.</w:t>
        <w:br/>
        <w:br/>
        <w:t>[7] ibidem, pg. 34.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