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Introdução à intencionalidade em Searle[i] - 27/04/2020</w:t>
        <w:br/>
      </w:r>
    </w:p>
    <w:p>
      <w:r>
        <w:t>Na sua teoria da mente, como já vimos nesse espaço, Searle nega tanto dualismo</w:t>
        <w:br/>
        <w:t>como monismo alegando a influência cartesiana anacrônica em ambas as visões e</w:t>
        <w:br/>
        <w:t>propondo uma abordagem que trate a consciência, ao mesmo tempo irredutível,</w:t>
        <w:br/>
        <w:t>como fenômeno biológico natural. Entretanto esse fenômeno se naturaliza pelo</w:t>
        <w:br/>
        <w:t>fisicalismo reduzindo o mental a processos físicos, depreciando o estudo da</w:t>
        <w:br/>
        <w:t>consciência e não levando em conta o aspecto subjetivo.</w:t>
        <w:br/>
        <w:br/>
        <w:t>Nesse sentido, há uma profunda divergência entre Searle e Dennett no</w:t>
        <w:br/>
        <w:t>tratamento da mente conforme o “senso comum”, pois “para Dennett há uma</w:t>
        <w:br/>
        <w:t>extravagância metafísica na ontologia subjetiva de Searle”. Dennett trabalha</w:t>
        <w:br/>
        <w:t>com a visão objetiva de ciência na qual o tratamento da consciência não se</w:t>
        <w:br/>
        <w:t>enquadra, pois não permite verificação “de terceiros”.</w:t>
        <w:br/>
        <w:br/>
        <w:t>Por seu lado, para Searle a mente é um objeto existente e deve ser investigada</w:t>
        <w:br/>
        <w:t>cientificamente, pois que pessoas sintam dores, por exemplo, é um fato</w:t>
        <w:br/>
        <w:t>objetivo, embora ontologicamente subjetivo e deveríamos buscar uma explicação</w:t>
        <w:br/>
        <w:t>neurobiológica da causação dos estados conscientes pelos processos cerebrais.</w:t>
        <w:br/>
        <w:br/>
        <w:t>Em Searle opera papel fundamental a **intencionalidade** , produto biológico</w:t>
        <w:br/>
        <w:t>evolutivo, que faz com que nos conectemos com o mundo através de estados</w:t>
        <w:br/>
        <w:t>intencionais com certas caraterísticas: veracidade (o objeto deve existir),</w:t>
        <w:br/>
        <w:t>direção (mente-mundo; mundo-mente), um determinado conteúdo e o modo</w:t>
        <w:br/>
        <w:t>psicológico: uma crença, desejo, etc.</w:t>
        <w:br/>
        <w:br/>
        <w:t>Duas são as formas biológicas mais básicas de intencionalidade: o ato</w:t>
        <w:br/>
        <w:t>perceptivo, que traz consigo um “background” de significados com que nos</w:t>
        <w:br/>
        <w:t>relacionamos com os objetos e a ação intencional, que é a condição de</w:t>
        <w:br/>
        <w:t>satisfação de uma intenção, seja uma intenção prévia e as não-intencionais,</w:t>
        <w:br/>
        <w:t>porém com intenção em ação e que até possa resultar em acidentes.</w:t>
        <w:br/>
        <w:br/>
        <w:t>Tanto na percepção, como na ação, há uma relação causal não como lei</w:t>
        <w:br/>
        <w:t>universal, mas relação lógica de causação intencional onde o conteúdo</w:t>
        <w:br/>
        <w:t>intencional é satisfeito. Além disso, não há teoria da intencionalidade sem o</w:t>
        <w:br/>
        <w:t>background de crenças, desejos e demais estados psicológicos, ou seja,</w:t>
        <w:br/>
        <w:t>“conjunto de capacidades mentais não-representacionais que permite a</w:t>
        <w:br/>
        <w:t>ocorrência de toda representação”. Portanto, o background é o elo de nossa</w:t>
        <w:br/>
        <w:t>parte subjetiva com os fatores externos de estímulo.</w:t>
        <w:br/>
        <w:br/>
        <w:t>Embora a posição de Searle possa equivaler a um realismo ingênuo, acredita-se</w:t>
        <w:br/>
        <w:t>que a neurociência abrirá caminhos para o estudo dos aspectos empíricos da</w:t>
        <w:br/>
        <w:t>consciência e não haveria contradição entre uma abordagem de senso comum e a</w:t>
        <w:br/>
        <w:t>ciência. Para Searle, vencer o vocabulário tradicional é pode tratar da mente</w:t>
        <w:br/>
        <w:t>e não separá-la. É tratar cérebro e mente como duas coisas distintas, porém</w:t>
        <w:br/>
        <w:t>físicas.</w:t>
        <w:br/>
        <w:br/>
        <w:t xml:space="preserve">  </w:t>
        <w:br/>
        <w:br/>
        <w:t>* * *</w:t>
        <w:br/>
        <w:br/>
        <w:t xml:space="preserve">  </w:t>
        <w:br/>
        <w:br/>
        <w:t>[i] Fichamento de “Subjetividade e intencionalidade: Searle crítico de</w:t>
        <w:br/>
        <w:t>Dennett”, acessado no endereço:</w:t>
        <w:br/>
        <w:t>&lt;https://www.marilia.unesp.br/Home/RevistasEletronicas/FILOGENESE/pauloejonas.pdf&gt;,</w:t>
        <w:br/>
        <w:t>em 24/04/2020.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