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在设计人形机器人时，膝关节和髋关节是承载机器人主要运动负荷的关键部位，进行强度校核和仿真具有以下几个重要原因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：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1"/>
          <w:szCs w:val="21"/>
        </w:rPr>
      </w:pPr>
      <w:r>
        <w:rPr>
          <w:rStyle w:val="5"/>
          <w:rFonts w:hint="eastAsia" w:ascii="宋体" w:hAnsi="宋体" w:eastAsia="宋体" w:cs="宋体"/>
          <w:sz w:val="21"/>
          <w:szCs w:val="21"/>
        </w:rPr>
        <w:t>承受运动负荷：</w:t>
      </w:r>
      <w:r>
        <w:rPr>
          <w:rFonts w:hint="eastAsia" w:ascii="宋体" w:hAnsi="宋体" w:eastAsia="宋体" w:cs="宋体"/>
          <w:sz w:val="21"/>
          <w:szCs w:val="21"/>
        </w:rPr>
        <w:t xml:space="preserve"> 膝关节和髋关节是人形机器人运动的核心，尤其在行走、跑步、蹲下等复杂运动过程中，膝关节和髋关节需要承受较大的力和压力。因此，确保这些关节部件能够承受运动时的负荷，并保证运动时不发生疲劳或破坏，是设计中必须考虑的重要问题。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1"/>
          <w:szCs w:val="21"/>
        </w:rPr>
      </w:pPr>
      <w:r>
        <w:rPr>
          <w:rStyle w:val="5"/>
          <w:rFonts w:hint="eastAsia" w:ascii="宋体" w:hAnsi="宋体" w:eastAsia="宋体" w:cs="宋体"/>
          <w:sz w:val="21"/>
          <w:szCs w:val="21"/>
        </w:rPr>
        <w:t>运动控制与稳定性：</w:t>
      </w:r>
      <w:r>
        <w:rPr>
          <w:rFonts w:hint="eastAsia" w:ascii="宋体" w:hAnsi="宋体" w:eastAsia="宋体" w:cs="宋体"/>
          <w:sz w:val="21"/>
          <w:szCs w:val="21"/>
        </w:rPr>
        <w:t xml:space="preserve"> 机器人在运动时，膝关节和髋关节的协调性与稳定性至关重要，强度不足或设计不当可能导致关节损坏，从而影响整体运动效果和机器人控制精度。因此，通过仿真和校核，可以预测不同动作下关节的受力情况，确保机器人能够</w:t>
      </w:r>
      <w:bookmarkStart w:id="0" w:name="_GoBack"/>
      <w:bookmarkEnd w:id="0"/>
      <w:r>
        <w:rPr>
          <w:rFonts w:hint="eastAsia" w:ascii="宋体" w:hAnsi="宋体" w:eastAsia="宋体" w:cs="宋体"/>
          <w:sz w:val="21"/>
          <w:szCs w:val="21"/>
        </w:rPr>
        <w:t>在各种环境下稳定运行。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1"/>
          <w:szCs w:val="21"/>
        </w:rPr>
      </w:pPr>
      <w:r>
        <w:rPr>
          <w:rStyle w:val="5"/>
          <w:rFonts w:hint="eastAsia" w:ascii="宋体" w:hAnsi="宋体" w:eastAsia="宋体" w:cs="宋体"/>
          <w:sz w:val="21"/>
          <w:szCs w:val="21"/>
        </w:rPr>
        <w:t>材料选择与优化：</w:t>
      </w:r>
      <w:r>
        <w:rPr>
          <w:rFonts w:hint="eastAsia" w:ascii="宋体" w:hAnsi="宋体" w:eastAsia="宋体" w:cs="宋体"/>
          <w:sz w:val="21"/>
          <w:szCs w:val="21"/>
        </w:rPr>
        <w:t xml:space="preserve"> 强度校核和仿真有助于选择合适的材料和结构，避免因材料强度不足而发生故障，同时通过优化设计减少不必要的材料浪费，提高机器人的整体性能和效率。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1"/>
          <w:szCs w:val="21"/>
        </w:rPr>
      </w:pPr>
      <w:r>
        <w:rPr>
          <w:rStyle w:val="5"/>
          <w:rFonts w:hint="eastAsia" w:ascii="宋体" w:hAnsi="宋体" w:eastAsia="宋体" w:cs="宋体"/>
          <w:sz w:val="21"/>
          <w:szCs w:val="21"/>
        </w:rPr>
        <w:t>避免过早磨损：</w:t>
      </w:r>
      <w:r>
        <w:rPr>
          <w:rFonts w:hint="eastAsia" w:ascii="宋体" w:hAnsi="宋体" w:eastAsia="宋体" w:cs="宋体"/>
          <w:sz w:val="21"/>
          <w:szCs w:val="21"/>
        </w:rPr>
        <w:t xml:space="preserve"> 机器人膝关节和髋关节的长期使用会导致零部件磨损。通过强度校核和仿真，能够提前识别潜在的磨损问题，进行设计优化，延长机器人的使用寿命。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5"/>
          <w:rFonts w:hint="eastAsia" w:ascii="宋体" w:hAnsi="宋体" w:eastAsia="宋体" w:cs="宋体"/>
          <w:sz w:val="21"/>
          <w:szCs w:val="21"/>
        </w:rPr>
        <w:t>安全性：</w:t>
      </w:r>
      <w:r>
        <w:rPr>
          <w:rFonts w:hint="eastAsia" w:ascii="宋体" w:hAnsi="宋体" w:eastAsia="宋体" w:cs="宋体"/>
          <w:sz w:val="21"/>
          <w:szCs w:val="21"/>
        </w:rPr>
        <w:t xml:space="preserve"> 机器人在执行任务时，膝关节和髋关节的强度不足可能会导致零件断裂或失效，进而影响机器人本身的安全性，甚至对周围环境或人员造成潜在危险。因此，强度校核和仿真能有效避免这些安全隐患。</w:t>
      </w:r>
    </w:p>
    <w:p>
      <w:pPr>
        <w:numPr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针对本项目设计的下肢人形机器人，在Ansys中开展仿真工作。验证在316不锈钢和7075铝合金这两种常用材料下，髋关节L支架膝关节L支架强度是否满足工况需求。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模型导入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将模型文件另存为STEP格式，导入至ANSYS的几何结构中。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双击工程数据，选择316不锈钢材料。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273675" cy="2660015"/>
            <wp:effectExtent l="0" t="0" r="1460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打开Mechanical，将模型的材料更改为316不锈钢材料。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1464310" cy="2887980"/>
            <wp:effectExtent l="0" t="0" r="139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网格划分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根据该模型的几何尺寸，选择合适的网格划分方式和网格大小。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对于髋关节和膝关节模型：选择四面体网格划分方式，网格大小为2mm。划分四面体网格，有利于划分更精准，对模型的计算结果准确性很有必要。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髋关节：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485130" cy="3663315"/>
            <wp:effectExtent l="0" t="0" r="127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网格单元质量最大为0.9999，平均网格质量为0.83735，接近于1，说明网格质量较好。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3743325" cy="2533650"/>
            <wp:effectExtent l="0" t="0" r="571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经统计，节点数为271159，单元数为181530。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3733800" cy="80010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膝关节模型：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271135" cy="3834765"/>
            <wp:effectExtent l="0" t="0" r="190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网格单元质量最大为1，平均网格质量为0.82142，接近于1，说明网格划分比较成功。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3495675" cy="2562225"/>
            <wp:effectExtent l="0" t="0" r="952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经统计，节点数为439814，单元数为296896。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3476625" cy="828675"/>
            <wp:effectExtent l="0" t="0" r="1333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施加约束和载荷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髋关节模型：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265420" cy="3849370"/>
            <wp:effectExtent l="0" t="0" r="762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对于图中蓝色区域所对应的面施加固定支撑。对于图中红色区域对应的面施加80Nm的力矩。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膝关节模型：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264785" cy="3706495"/>
            <wp:effectExtent l="0" t="0" r="825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对于图中蓝色区域所对应的面施加固定支撑。对于图中红色区域对应的面施加60Nm的力矩。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6求解及结果分析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点击静态结构，右键插入总变形和等效应力。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髋关节模型：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总变形：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71135" cy="2773680"/>
            <wp:effectExtent l="0" t="0" r="1905" b="0"/>
            <wp:docPr id="12" name="图片 12" descr="总变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总变形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等效应力：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71135" cy="2773680"/>
            <wp:effectExtent l="0" t="0" r="1905" b="0"/>
            <wp:docPr id="11" name="图片 11" descr="等效应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等效应力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最大变形为0.023277mm，最大等效应力为37.538MPa。由有限元结果可以看出，该不锈钢模型的变形量较小，等效应力也较小，小于316不锈钢的屈服强度，因此选用不锈钢材料制作的该髋关节模型结构安全。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膝关节模型：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总变形：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9865" cy="2725420"/>
            <wp:effectExtent l="0" t="0" r="3175" b="2540"/>
            <wp:docPr id="14" name="图片 14" descr="膝关节总变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膝关节总变形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等效应力：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9865" cy="2725420"/>
            <wp:effectExtent l="0" t="0" r="3175" b="2540"/>
            <wp:docPr id="13" name="图片 13" descr="膝关节等效应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膝关节等效应力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最大变形量为0.037858mm，最大等效应力为36.991MPa。由有限元结果可以看出，该不锈钢模型的变形量较小，等效应力也较小，小于316不锈钢的屈服强度，因此选用不锈钢材料制作的该膝关节模型结构安全。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模型导入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将模型文件另存为STEP格式，导入至ANSYS的几何结构中。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双击工程数据，定义7075铝合金材料。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267960" cy="1891030"/>
            <wp:effectExtent l="0" t="0" r="5080" b="1397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打开Mechanical，将模型的材料更改为7075铝合金材料。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2657475" cy="5410200"/>
            <wp:effectExtent l="0" t="0" r="9525" b="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网格划分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根据该模型的几何尺寸，选择合适的网格划分方式和网格大小。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对于髋关节和膝关节模型：选择四面体网格划分方式，网格大小为2mm。划分四面体网格，有利于划分更精准，对模型的计算结果准确性很有必要。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髋关节：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485130" cy="3663315"/>
            <wp:effectExtent l="0" t="0" r="127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网格单元质量最大为0.9999，平均网格质量为0.83735，接近于1，说明网格质量较好。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3743325" cy="2533650"/>
            <wp:effectExtent l="0" t="0" r="571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经统计，节点数为271159，单元数为181530。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3733800" cy="80010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膝关节模型：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271135" cy="3834765"/>
            <wp:effectExtent l="0" t="0" r="190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网格单元质量最大为1，平均网格质量为0.82142，接近于1，说明网格划分比较成功。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3495675" cy="2562225"/>
            <wp:effectExtent l="0" t="0" r="9525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经统计，节点数为439814，单元数为296896。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3476625" cy="828675"/>
            <wp:effectExtent l="0" t="0" r="1333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施加约束和载荷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髋关节模型：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265420" cy="3849370"/>
            <wp:effectExtent l="0" t="0" r="762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对于图中蓝色区域所对应的面施加固定支撑。对于图中红色区域对应的面施加80Nm的力矩。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膝关节模型：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264785" cy="3706495"/>
            <wp:effectExtent l="0" t="0" r="8255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对于图中蓝色区域所对应的面施加固定支撑。对于图中红色区域对应的面施加60Nm的力矩。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6求解及结果分析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点击静态结构，右键插入总变形和等效应力。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髋关节模型：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总变形：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2245" cy="2556510"/>
            <wp:effectExtent l="0" t="0" r="10795" b="3810"/>
            <wp:docPr id="31" name="图片 31" descr="髋关节总变形_7075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髋关节总变形_7075al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等效应力：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2245" cy="2556510"/>
            <wp:effectExtent l="0" t="0" r="10795" b="3810"/>
            <wp:docPr id="32" name="图片 32" descr="髋关节等效应力_7075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髋关节等效应力_7075al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最大变形为0.064682mm，最大等效应力为37.244MPa。由有限元结果可以看出，该不锈钢模型的变形量较小，等效应力也较小，小于7075铝合金的屈服强度，因此选用铝合金材料制作的该髋关节模型结构安全。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膝关节模型：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总变形：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2245" cy="2556510"/>
            <wp:effectExtent l="0" t="0" r="10795" b="3810"/>
            <wp:docPr id="33" name="图片 33" descr="膝关节总变形_7075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膝关节总变形_7075al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等效应力：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2245" cy="2556510"/>
            <wp:effectExtent l="0" t="0" r="10795" b="3810"/>
            <wp:docPr id="34" name="图片 34" descr="膝关节等效应力_7075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膝关节等效应力_7075al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最大变形量为0.1042mm，最大等效应力为36.773MPa。由有限元结果可以看出，该7075铝合金模型的变形量较小，等效应力也较小，小于铝合金的屈服强度，因此选用铝合金材料制作的该膝关节模型结构安全。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51">
      <wne:macro wne:macroName="MATHTYPECOMMANDS.UILIB.MTCOMMAND_INSERTINLINEEQN"/>
    </wne:keymap>
    <wne:keymap wne:kcmPrimary="0451">
      <wne:macro wne:macroName="MATHTYPECOMMANDS.UILIB.MTCOMMAND_INSERTDISPEQN"/>
    </wne:keymap>
    <wne:keymap wne:kcmPrimary="0551">
      <wne:macro wne:macroName="MATHTYPECOMMANDS.UILIB.MTCOMMAND_INSERTRIGHTNUMBEREDDISPEQN"/>
    </wne:keymap>
    <wne:keymap wne:kcmPrimary="0751">
      <wne:macro wne:macroName="MATHTYPECOMMANDS.UILIB.MTCOMMAND_INSERTLEFTNUMBEREDDISPEQN"/>
    </wne:keymap>
    <wne:keymap wne:kcmPrimary="04DC">
      <wne:macro wne:macroName="MATHTYPECOMMANDS.UILIB.MTCOMMAND_TEXTOGGLE"/>
    </wne:keymap>
    <wne:keymap wne:kcmPrimary="0445">
      <wne:macro wne:macroName="MATHTYPECOMMANDS.UILIB.MTCOMMAND_EDITEQUATIONINPLACE"/>
    </wne:keymap>
    <wne:keymap wne:kcmPrimary="044F">
      <wne:macro wne:macroName="MATHTYPECOMMANDS.UILIB.MTCOMMAND_EDITEQUATIONOPEN"/>
    </wne:keymap>
    <wne:keymap wne:kcmPrimary="034D">
      <wne:macro wne:macroName="MATHTYPECOMMANDS.UILIB.MTCOMMAND_MATHINPUTCONTROL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118DE30"/>
    <w:multiLevelType w:val="singleLevel"/>
    <w:tmpl w:val="6118DE3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JmYmVhMGQ2YWQwOTc0ZDFkYmVkZTE0NzFkNThlYzIifQ=="/>
    <w:docVar w:name="KSO_WPS_MARK_KEY" w:val="dc03259b-4f3f-4502-b5e9-bed51a5301e1"/>
  </w:docVars>
  <w:rsids>
    <w:rsidRoot w:val="00000000"/>
    <w:rsid w:val="05E05B17"/>
    <w:rsid w:val="08711113"/>
    <w:rsid w:val="47002B90"/>
    <w:rsid w:val="492C41F6"/>
    <w:rsid w:val="51581312"/>
    <w:rsid w:val="55F434E3"/>
    <w:rsid w:val="60A62FEE"/>
    <w:rsid w:val="77A172D9"/>
    <w:rsid w:val="78F74CE4"/>
    <w:rsid w:val="7B054D0A"/>
    <w:rsid w:val="7DC4392D"/>
    <w:rsid w:val="7F6F7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microsoft.com/office/2006/relationships/keyMapCustomizations" Target="customizations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1789</Words>
  <Characters>2006</Characters>
  <Lines>0</Lines>
  <Paragraphs>0</Paragraphs>
  <TotalTime>15</TotalTime>
  <ScaleCrop>false</ScaleCrop>
  <LinksUpToDate>false</LinksUpToDate>
  <CharactersWithSpaces>2011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2024-06-16T08:49:00Z</dcterms:created>
  <dc:creator>User</dc:creator>
  <cp:lastModifiedBy>LEE</cp:lastModifiedBy>
  <dcterms:modified xsi:type="dcterms:W3CDTF">2024-12-22T04:20:08Z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B539542894BF4886AFA82627B67DA8CB</vt:lpwstr>
  </property>
</Properties>
</file>