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A185" w14:textId="1CCA471C" w:rsidR="008244AE" w:rsidRDefault="008244AE" w:rsidP="008244AE">
      <w:pPr>
        <w:jc w:val="center"/>
        <w:rPr>
          <w:rFonts w:ascii="Bahnschrift" w:eastAsia="Bahnschrift" w:hAnsi="Bahnschrift" w:cs="Bahnschrift"/>
          <w:b/>
          <w:sz w:val="28"/>
          <w:szCs w:val="28"/>
        </w:rPr>
      </w:pPr>
      <w:r w:rsidRPr="00D42525">
        <w:rPr>
          <w:rFonts w:ascii="Bahnschrift" w:eastAsia="Bahnschrift" w:hAnsi="Bahnschrift" w:cs="Bahnschrift"/>
          <w:b/>
          <w:sz w:val="28"/>
          <w:szCs w:val="28"/>
        </w:rPr>
        <w:t>BIOINFORMATICS APPLICATIONS IN GENOMICS SURVEILLANCE OF BACTERIAL ANTIMICROBIAL RESISTANCE</w:t>
      </w:r>
    </w:p>
    <w:p w14:paraId="1716B06D" w14:textId="2AD456F7" w:rsidR="00D42525" w:rsidRPr="00D42525" w:rsidRDefault="00D42525" w:rsidP="00D42525">
      <w:pPr>
        <w:jc w:val="center"/>
        <w:rPr>
          <w:rFonts w:ascii="Bahnschrift" w:hAnsi="Bahnschrift"/>
          <w:b/>
          <w:bCs/>
          <w:sz w:val="28"/>
          <w:szCs w:val="28"/>
          <w:lang w:val="en-US"/>
        </w:rPr>
      </w:pPr>
      <w:r w:rsidRPr="00D42525">
        <w:rPr>
          <w:rFonts w:ascii="Bahnschrift" w:hAnsi="Bahnschrift"/>
          <w:b/>
          <w:bCs/>
          <w:sz w:val="28"/>
          <w:szCs w:val="28"/>
          <w:lang w:val="en-US"/>
        </w:rPr>
        <w:t>ASSIGNMENT</w:t>
      </w:r>
    </w:p>
    <w:p w14:paraId="3D6B3B8A" w14:textId="7D2C9CFF" w:rsidR="008244AE" w:rsidRPr="00D42525" w:rsidRDefault="008244AE" w:rsidP="008244A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US"/>
        </w:rPr>
      </w:pPr>
      <w:r w:rsidRPr="008244AE">
        <w:rPr>
          <w:rFonts w:ascii="Calibri" w:eastAsia="Times New Roman" w:hAnsi="Calibri" w:cs="Calibri"/>
          <w:b/>
          <w:bCs/>
        </w:rPr>
        <w:t xml:space="preserve">Module topic: </w:t>
      </w:r>
      <w:r>
        <w:rPr>
          <w:b/>
        </w:rPr>
        <w:t xml:space="preserve">Introduction to NGS technologies and </w:t>
      </w:r>
      <w:r w:rsidR="00D42525" w:rsidRPr="00D42525">
        <w:rPr>
          <w:b/>
          <w:lang w:val="en-US"/>
        </w:rPr>
        <w:t xml:space="preserve">NGS </w:t>
      </w:r>
      <w:r w:rsidR="00D42525">
        <w:rPr>
          <w:b/>
          <w:lang w:val="en-US"/>
        </w:rPr>
        <w:t>d</w:t>
      </w:r>
      <w:r w:rsidR="00D42525" w:rsidRPr="00D42525">
        <w:rPr>
          <w:b/>
          <w:lang w:val="en-US"/>
        </w:rPr>
        <w:t>a</w:t>
      </w:r>
      <w:r w:rsidR="00D42525">
        <w:rPr>
          <w:b/>
          <w:lang w:val="en-US"/>
        </w:rPr>
        <w:t>ta formats</w:t>
      </w:r>
    </w:p>
    <w:p w14:paraId="53BA1AE6" w14:textId="67FA31FD" w:rsidR="008244AE" w:rsidRPr="008244AE" w:rsidRDefault="008244AE" w:rsidP="008244A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US"/>
        </w:rPr>
      </w:pPr>
      <w:r w:rsidRPr="008244AE">
        <w:rPr>
          <w:rFonts w:ascii="Calibri" w:eastAsia="Times New Roman" w:hAnsi="Calibri" w:cs="Calibri"/>
          <w:b/>
          <w:bCs/>
          <w:lang w:val="en-US"/>
        </w:rPr>
        <w:t>Gr</w:t>
      </w:r>
      <w:r>
        <w:rPr>
          <w:rFonts w:ascii="Calibri" w:eastAsia="Times New Roman" w:hAnsi="Calibri" w:cs="Calibri"/>
          <w:b/>
          <w:bCs/>
          <w:lang w:val="en-US"/>
        </w:rPr>
        <w:t xml:space="preserve">oup: </w:t>
      </w:r>
      <w:r w:rsidRPr="008244AE">
        <w:rPr>
          <w:rFonts w:ascii="Calibri" w:eastAsia="Times New Roman" w:hAnsi="Calibri" w:cs="Calibri"/>
          <w:i/>
          <w:iCs/>
          <w:lang w:val="en-US"/>
        </w:rPr>
        <w:t>&lt;write your group name here&gt;</w:t>
      </w:r>
    </w:p>
    <w:p w14:paraId="41338F90" w14:textId="0DAABA9C" w:rsidR="008244AE" w:rsidRPr="008244AE" w:rsidRDefault="008244AE" w:rsidP="008244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44AE">
        <w:rPr>
          <w:rFonts w:ascii="Calibri" w:eastAsia="Times New Roman" w:hAnsi="Calibri" w:cs="Calibri"/>
          <w:b/>
          <w:bCs/>
        </w:rPr>
        <w:t xml:space="preserve">Participant: </w:t>
      </w:r>
      <w:r w:rsidRPr="008244AE">
        <w:rPr>
          <w:rFonts w:ascii="Calibri" w:eastAsia="Times New Roman" w:hAnsi="Calibri" w:cs="Calibri"/>
        </w:rPr>
        <w:t>&lt;</w:t>
      </w:r>
      <w:r w:rsidRPr="008244AE">
        <w:rPr>
          <w:rFonts w:ascii="Calibri" w:eastAsia="Times New Roman" w:hAnsi="Calibri" w:cs="Calibri"/>
          <w:i/>
          <w:iCs/>
        </w:rPr>
        <w:t xml:space="preserve">write </w:t>
      </w:r>
      <w:r w:rsidR="00BC7D79">
        <w:rPr>
          <w:rFonts w:ascii="Calibri" w:eastAsia="Times New Roman" w:hAnsi="Calibri" w:cs="Calibri"/>
          <w:i/>
          <w:iCs/>
          <w:lang w:val="fr-FR"/>
        </w:rPr>
        <w:t xml:space="preserve">first </w:t>
      </w:r>
      <w:r w:rsidRPr="008244AE">
        <w:rPr>
          <w:rFonts w:ascii="Calibri" w:eastAsia="Times New Roman" w:hAnsi="Calibri" w:cs="Calibri"/>
          <w:i/>
          <w:iCs/>
        </w:rPr>
        <w:t xml:space="preserve">name </w:t>
      </w:r>
      <w:r w:rsidR="00BC7D79" w:rsidRPr="00BC7D79">
        <w:rPr>
          <w:rFonts w:ascii="Calibri" w:eastAsia="Times New Roman" w:hAnsi="Calibri" w:cs="Calibri"/>
          <w:i/>
          <w:iCs/>
          <w:lang w:val="en-US"/>
        </w:rPr>
        <w:t xml:space="preserve">of all group members </w:t>
      </w:r>
      <w:r w:rsidRPr="008244AE">
        <w:rPr>
          <w:rFonts w:ascii="Calibri" w:eastAsia="Times New Roman" w:hAnsi="Calibri" w:cs="Calibri"/>
          <w:i/>
          <w:iCs/>
        </w:rPr>
        <w:t xml:space="preserve">here&gt; </w:t>
      </w:r>
    </w:p>
    <w:p w14:paraId="72175695" w14:textId="77777777" w:rsidR="008244AE" w:rsidRPr="008244AE" w:rsidRDefault="008244AE" w:rsidP="008244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44AE">
        <w:rPr>
          <w:rFonts w:ascii="Calibri" w:eastAsia="Times New Roman" w:hAnsi="Calibri" w:cs="Calibri"/>
          <w:b/>
          <w:bCs/>
        </w:rPr>
        <w:t xml:space="preserve">Date: </w:t>
      </w:r>
      <w:r w:rsidRPr="008244AE">
        <w:rPr>
          <w:rFonts w:ascii="Calibri" w:eastAsia="Times New Roman" w:hAnsi="Calibri" w:cs="Calibri"/>
        </w:rPr>
        <w:t>&lt;</w:t>
      </w:r>
      <w:r w:rsidRPr="008244AE">
        <w:rPr>
          <w:rFonts w:ascii="Calibri" w:eastAsia="Times New Roman" w:hAnsi="Calibri" w:cs="Calibri"/>
          <w:i/>
          <w:iCs/>
        </w:rPr>
        <w:t>write today’s date here</w:t>
      </w:r>
      <w:r w:rsidRPr="008244AE">
        <w:rPr>
          <w:rFonts w:ascii="Calibri" w:eastAsia="Times New Roman" w:hAnsi="Calibri" w:cs="Calibri"/>
        </w:rPr>
        <w:t xml:space="preserve">&gt; </w:t>
      </w:r>
    </w:p>
    <w:p w14:paraId="7C18F876" w14:textId="28581025" w:rsidR="004C4333" w:rsidRPr="00D42525" w:rsidRDefault="008244AE" w:rsidP="00D4252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Bahnschrift" w:eastAsia="Times New Roman" w:hAnsi="Bahnschrift" w:cs="Times New Roman"/>
          <w:sz w:val="22"/>
          <w:szCs w:val="22"/>
          <w:lang w:val="fr-FR"/>
        </w:rPr>
      </w:pPr>
      <w:r w:rsidRPr="00D42525">
        <w:rPr>
          <w:rFonts w:ascii="Bahnschrift" w:eastAsia="Times New Roman" w:hAnsi="Bahnschrift" w:cs="Calibri"/>
          <w:b/>
          <w:bCs/>
          <w:sz w:val="28"/>
          <w:szCs w:val="28"/>
          <w:lang w:val="fr-FR"/>
        </w:rPr>
        <w:t>NGS technologies and workflow</w:t>
      </w:r>
    </w:p>
    <w:p w14:paraId="1D7D95A8" w14:textId="379B711E" w:rsidR="00D42525" w:rsidRPr="00D42525" w:rsidRDefault="001D682B" w:rsidP="00D425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42525">
        <w:rPr>
          <w:sz w:val="22"/>
          <w:szCs w:val="22"/>
          <w:lang w:val="en-US"/>
        </w:rPr>
        <w:t xml:space="preserve">You have a collection of </w:t>
      </w:r>
      <w:r w:rsidR="00D42525" w:rsidRPr="00D42525">
        <w:rPr>
          <w:sz w:val="22"/>
          <w:szCs w:val="22"/>
          <w:lang w:val="en-US"/>
        </w:rPr>
        <w:t>ESBL-</w:t>
      </w:r>
      <w:proofErr w:type="spellStart"/>
      <w:r w:rsidRPr="00D42525">
        <w:rPr>
          <w:i/>
          <w:iCs/>
          <w:sz w:val="22"/>
          <w:szCs w:val="22"/>
          <w:lang w:val="en-US"/>
        </w:rPr>
        <w:t>Enterobacterales</w:t>
      </w:r>
      <w:proofErr w:type="spellEnd"/>
      <w:r w:rsidRPr="00D42525">
        <w:rPr>
          <w:sz w:val="22"/>
          <w:szCs w:val="22"/>
          <w:lang w:val="en-US"/>
        </w:rPr>
        <w:t xml:space="preserve"> isolates from patients with renal failure, </w:t>
      </w:r>
      <w:r w:rsidR="00D42525" w:rsidRPr="00D42525">
        <w:rPr>
          <w:sz w:val="22"/>
          <w:szCs w:val="22"/>
          <w:lang w:val="en-US"/>
        </w:rPr>
        <w:t>dialyze</w:t>
      </w:r>
      <w:r w:rsidRPr="00D42525">
        <w:rPr>
          <w:sz w:val="22"/>
          <w:szCs w:val="22"/>
          <w:lang w:val="en-US"/>
        </w:rPr>
        <w:t xml:space="preserve"> water and healthcare workers. </w:t>
      </w:r>
      <w:r w:rsidRPr="00D42525">
        <w:rPr>
          <w:sz w:val="22"/>
          <w:szCs w:val="22"/>
          <w:lang w:val="en-US"/>
        </w:rPr>
        <w:t>Which sequencing platform do you plan to use for sequencing of the isolates?</w:t>
      </w:r>
      <w:r w:rsidRPr="00D42525">
        <w:rPr>
          <w:sz w:val="22"/>
          <w:szCs w:val="22"/>
          <w:lang w:val="en-US"/>
        </w:rPr>
        <w:t xml:space="preserve"> Justify your point.</w:t>
      </w:r>
    </w:p>
    <w:p w14:paraId="52DC724A" w14:textId="5BAA06DE" w:rsidR="00D42525" w:rsidRPr="00D42525" w:rsidRDefault="00D42525" w:rsidP="00D42525">
      <w:pPr>
        <w:rPr>
          <w:lang w:val="fr-FR"/>
        </w:rPr>
      </w:pPr>
      <w:r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fr-FR"/>
        </w:rPr>
        <w:t>____________________________________</w:t>
      </w:r>
    </w:p>
    <w:p w14:paraId="34317800" w14:textId="48EDC5CA" w:rsidR="00D42525" w:rsidRPr="00D42525" w:rsidRDefault="00D42525" w:rsidP="00D42525">
      <w:pPr>
        <w:rPr>
          <w:lang w:val="fr-FR"/>
        </w:rPr>
      </w:pPr>
      <w:r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701CF0" w14:textId="5FF54102" w:rsidR="00D42525" w:rsidRPr="00D42525" w:rsidRDefault="00D42525" w:rsidP="00D42525">
      <w:pPr>
        <w:pStyle w:val="ListParagraph"/>
        <w:numPr>
          <w:ilvl w:val="0"/>
          <w:numId w:val="2"/>
        </w:numPr>
        <w:jc w:val="both"/>
      </w:pPr>
      <w:r w:rsidRPr="00D42525">
        <w:rPr>
          <w:lang w:val="en-US"/>
        </w:rPr>
        <w:t xml:space="preserve">You have a </w:t>
      </w:r>
      <w:r w:rsidRPr="00D42525">
        <w:rPr>
          <w:lang w:val="en-US"/>
        </w:rPr>
        <w:t xml:space="preserve">10-year </w:t>
      </w:r>
      <w:r w:rsidRPr="00D42525">
        <w:rPr>
          <w:lang w:val="en-US"/>
        </w:rPr>
        <w:t xml:space="preserve">collection of multidrug-resistant </w:t>
      </w:r>
      <w:r w:rsidRPr="00D42525">
        <w:rPr>
          <w:i/>
          <w:iCs/>
          <w:lang w:val="en-US"/>
        </w:rPr>
        <w:t>Mycobacterium tuberculosis</w:t>
      </w:r>
      <w:r w:rsidRPr="00D42525">
        <w:rPr>
          <w:lang w:val="en-US"/>
        </w:rPr>
        <w:t xml:space="preserve"> isolates. </w:t>
      </w:r>
      <w:r w:rsidRPr="00D42525">
        <w:rPr>
          <w:lang w:val="en-US"/>
        </w:rPr>
        <w:t xml:space="preserve">You would like to assess the mutation encoding resistance to isoniazid, rifampicin, and ethambutol. </w:t>
      </w:r>
      <w:r w:rsidRPr="00D42525">
        <w:rPr>
          <w:lang w:val="en-US"/>
        </w:rPr>
        <w:t>Which sequencing platform do you plan to use for sequencing of the isolates? Justify your point.</w:t>
      </w:r>
    </w:p>
    <w:p w14:paraId="4F19EA30" w14:textId="613CA191" w:rsidR="00D42525" w:rsidRPr="00D42525" w:rsidRDefault="00D42525" w:rsidP="00D42525">
      <w:pPr>
        <w:rPr>
          <w:lang w:val="fr-FR"/>
        </w:rPr>
      </w:pPr>
      <w:r w:rsidRPr="00D42525"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fr-FR"/>
        </w:rPr>
        <w:t>____________________________________</w:t>
      </w:r>
    </w:p>
    <w:p w14:paraId="3F26D96E" w14:textId="77777777" w:rsidR="00D42525" w:rsidRPr="00D42525" w:rsidRDefault="00D42525" w:rsidP="00D42525">
      <w:pPr>
        <w:rPr>
          <w:lang w:val="en-US"/>
        </w:rPr>
      </w:pPr>
    </w:p>
    <w:p w14:paraId="3ED4E1BC" w14:textId="26CA6F91" w:rsidR="00D42525" w:rsidRPr="00D42525" w:rsidRDefault="001D682B" w:rsidP="00D4252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42525">
        <w:rPr>
          <w:lang w:val="en-US"/>
        </w:rPr>
        <w:t xml:space="preserve">You </w:t>
      </w:r>
      <w:r w:rsidR="00D42525" w:rsidRPr="00D42525">
        <w:rPr>
          <w:lang w:val="en-US"/>
        </w:rPr>
        <w:t>want to assess the micro</w:t>
      </w:r>
      <w:r w:rsidR="00D42525">
        <w:rPr>
          <w:lang w:val="en-US"/>
        </w:rPr>
        <w:t xml:space="preserve">biome of poultry and pigs at abattoirs and farms during your PhD project. </w:t>
      </w:r>
      <w:r w:rsidR="00D42525" w:rsidRPr="00D42525">
        <w:rPr>
          <w:lang w:val="en-US"/>
        </w:rPr>
        <w:t>Which sequencing platform do you plan to use for sequencing of the isolates? Justify your point.</w:t>
      </w:r>
    </w:p>
    <w:p w14:paraId="089471AB" w14:textId="2F4750AD" w:rsidR="00D42525" w:rsidRPr="00D42525" w:rsidRDefault="00D42525" w:rsidP="00D42525">
      <w:pPr>
        <w:ind w:left="360"/>
        <w:rPr>
          <w:lang w:val="fr-FR"/>
        </w:rPr>
      </w:pPr>
      <w:r w:rsidRPr="00D42525"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fr-FR"/>
        </w:rPr>
        <w:t>____________________________________</w:t>
      </w:r>
    </w:p>
    <w:p w14:paraId="13D3B1C6" w14:textId="774F7D29" w:rsidR="00D42525" w:rsidRDefault="00D42525" w:rsidP="00D42525">
      <w:pPr>
        <w:rPr>
          <w:lang w:val="en-US"/>
        </w:rPr>
      </w:pPr>
    </w:p>
    <w:p w14:paraId="3F8172D3" w14:textId="6FD90F7F" w:rsidR="00D42525" w:rsidRPr="00BC7D79" w:rsidRDefault="00D42525" w:rsidP="00D4252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C7D79">
        <w:rPr>
          <w:b/>
          <w:bCs/>
          <w:lang w:val="en-US"/>
        </w:rPr>
        <w:t>NGS Data formats</w:t>
      </w:r>
    </w:p>
    <w:p w14:paraId="75346D06" w14:textId="5FCE8DCF" w:rsidR="00D42525" w:rsidRDefault="00D42525" w:rsidP="00D42525">
      <w:pPr>
        <w:rPr>
          <w:lang w:val="en-US"/>
        </w:rPr>
      </w:pPr>
    </w:p>
    <w:p w14:paraId="3D060D56" w14:textId="77777777" w:rsidR="002407A4" w:rsidRDefault="002407A4" w:rsidP="00D425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files named </w:t>
      </w:r>
      <w:r w:rsidRPr="002407A4">
        <w:rPr>
          <w:lang w:val="en-US"/>
        </w:rPr>
        <w:t>PR31S20_R</w:t>
      </w:r>
      <w:proofErr w:type="gramStart"/>
      <w:r w:rsidRPr="002407A4">
        <w:rPr>
          <w:lang w:val="en-US"/>
        </w:rPr>
        <w:t>1.fastq</w:t>
      </w:r>
      <w:proofErr w:type="gramEnd"/>
      <w:r>
        <w:rPr>
          <w:lang w:val="en-US"/>
        </w:rPr>
        <w:t xml:space="preserve"> and </w:t>
      </w:r>
      <w:r w:rsidRPr="002407A4">
        <w:rPr>
          <w:lang w:val="en-US"/>
        </w:rPr>
        <w:t>PR31S20_R1.fast</w:t>
      </w:r>
      <w:r>
        <w:rPr>
          <w:lang w:val="en-US"/>
        </w:rPr>
        <w:t xml:space="preserve">a. Open them with your text editor. Note the particularity of each file. </w:t>
      </w:r>
    </w:p>
    <w:p w14:paraId="12233A82" w14:textId="79B5F7B2" w:rsidR="00D42525" w:rsidRDefault="002407A4" w:rsidP="002407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file?</w:t>
      </w:r>
    </w:p>
    <w:p w14:paraId="54EC5E93" w14:textId="6F29F3D7" w:rsidR="002407A4" w:rsidRDefault="002407A4" w:rsidP="002407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does the R</w:t>
      </w:r>
      <w:proofErr w:type="gramStart"/>
      <w:r>
        <w:rPr>
          <w:lang w:val="en-US"/>
        </w:rPr>
        <w:t>1.fastq</w:t>
      </w:r>
      <w:proofErr w:type="gramEnd"/>
      <w:r>
        <w:rPr>
          <w:lang w:val="en-US"/>
        </w:rPr>
        <w:t xml:space="preserve"> means?</w:t>
      </w:r>
    </w:p>
    <w:p w14:paraId="0426B63E" w14:textId="0A4BDD91" w:rsidR="002407A4" w:rsidRDefault="00760A88" w:rsidP="00D425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Match the bioinformatics steps on the left with the NGS file on the </w:t>
      </w:r>
      <w:r w:rsidR="00BC7D79">
        <w:rPr>
          <w:lang w:val="en-US"/>
        </w:rPr>
        <w:t>right.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89"/>
        <w:gridCol w:w="3292"/>
        <w:gridCol w:w="1053"/>
        <w:gridCol w:w="572"/>
      </w:tblGrid>
      <w:tr w:rsidR="00BC7D79" w:rsidRPr="00BC7D79" w14:paraId="3260D66D" w14:textId="13B24E2C" w:rsidTr="00BC7D79">
        <w:tc>
          <w:tcPr>
            <w:tcW w:w="589" w:type="dxa"/>
          </w:tcPr>
          <w:p w14:paraId="419DC972" w14:textId="37887E75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C7D79">
              <w:rPr>
                <w:b/>
                <w:bCs/>
                <w:sz w:val="21"/>
                <w:szCs w:val="21"/>
                <w:lang w:val="en-US"/>
              </w:rPr>
              <w:t>No</w:t>
            </w:r>
          </w:p>
        </w:tc>
        <w:tc>
          <w:tcPr>
            <w:tcW w:w="3292" w:type="dxa"/>
          </w:tcPr>
          <w:p w14:paraId="3DD24D1B" w14:textId="05C0698C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C7D79">
              <w:rPr>
                <w:b/>
                <w:bCs/>
                <w:sz w:val="21"/>
                <w:szCs w:val="21"/>
                <w:lang w:val="en-US"/>
              </w:rPr>
              <w:t>Bioinformatics steps</w:t>
            </w:r>
          </w:p>
        </w:tc>
        <w:tc>
          <w:tcPr>
            <w:tcW w:w="1053" w:type="dxa"/>
          </w:tcPr>
          <w:p w14:paraId="47E4DF8C" w14:textId="77078D59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C7D79">
              <w:rPr>
                <w:b/>
                <w:bCs/>
                <w:sz w:val="21"/>
                <w:szCs w:val="21"/>
                <w:lang w:val="en-US"/>
              </w:rPr>
              <w:t>NGS file</w:t>
            </w:r>
          </w:p>
        </w:tc>
        <w:tc>
          <w:tcPr>
            <w:tcW w:w="572" w:type="dxa"/>
          </w:tcPr>
          <w:p w14:paraId="3A6DACDA" w14:textId="4DCF234F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No</w:t>
            </w:r>
          </w:p>
        </w:tc>
      </w:tr>
      <w:tr w:rsidR="00BC7D79" w:rsidRPr="00BC7D79" w14:paraId="6F0CF6A6" w14:textId="1C8CE9E2" w:rsidTr="00BC7D79">
        <w:tc>
          <w:tcPr>
            <w:tcW w:w="589" w:type="dxa"/>
          </w:tcPr>
          <w:p w14:paraId="5EA15FD4" w14:textId="0A681E75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3292" w:type="dxa"/>
          </w:tcPr>
          <w:p w14:paraId="480EE1E6" w14:textId="5D45ECFC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Quality check sequencing</w:t>
            </w:r>
          </w:p>
        </w:tc>
        <w:tc>
          <w:tcPr>
            <w:tcW w:w="1053" w:type="dxa"/>
          </w:tcPr>
          <w:p w14:paraId="7DFD0746" w14:textId="3B70D4DA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gbk</w:t>
            </w:r>
            <w:proofErr w:type="spellEnd"/>
            <w:proofErr w:type="gramEnd"/>
          </w:p>
        </w:tc>
        <w:tc>
          <w:tcPr>
            <w:tcW w:w="572" w:type="dxa"/>
          </w:tcPr>
          <w:p w14:paraId="64F54FE7" w14:textId="72A28D87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</w:t>
            </w:r>
          </w:p>
        </w:tc>
      </w:tr>
      <w:tr w:rsidR="00BC7D79" w:rsidRPr="00BC7D79" w14:paraId="1F9DB799" w14:textId="320731BA" w:rsidTr="00BC7D79">
        <w:tc>
          <w:tcPr>
            <w:tcW w:w="589" w:type="dxa"/>
          </w:tcPr>
          <w:p w14:paraId="6D066533" w14:textId="57651AB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3292" w:type="dxa"/>
          </w:tcPr>
          <w:p w14:paraId="39DF18A6" w14:textId="6FE63183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De novo assembly</w:t>
            </w:r>
          </w:p>
        </w:tc>
        <w:tc>
          <w:tcPr>
            <w:tcW w:w="1053" w:type="dxa"/>
          </w:tcPr>
          <w:p w14:paraId="3EC17B23" w14:textId="5716514E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vcf</w:t>
            </w:r>
            <w:proofErr w:type="spellEnd"/>
          </w:p>
        </w:tc>
        <w:tc>
          <w:tcPr>
            <w:tcW w:w="572" w:type="dxa"/>
          </w:tcPr>
          <w:p w14:paraId="590B7A1F" w14:textId="41D4E6B9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B</w:t>
            </w:r>
          </w:p>
        </w:tc>
      </w:tr>
      <w:tr w:rsidR="00BC7D79" w:rsidRPr="00BC7D79" w14:paraId="1BB45630" w14:textId="2858D107" w:rsidTr="00BC7D79">
        <w:tc>
          <w:tcPr>
            <w:tcW w:w="589" w:type="dxa"/>
          </w:tcPr>
          <w:p w14:paraId="2CF05734" w14:textId="5CBE986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3292" w:type="dxa"/>
          </w:tcPr>
          <w:p w14:paraId="00991FCF" w14:textId="2965440C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Reference mapping</w:t>
            </w:r>
          </w:p>
        </w:tc>
        <w:tc>
          <w:tcPr>
            <w:tcW w:w="1053" w:type="dxa"/>
          </w:tcPr>
          <w:p w14:paraId="0D65F6A8" w14:textId="60760EE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fastqc</w:t>
            </w:r>
            <w:proofErr w:type="spellEnd"/>
            <w:proofErr w:type="gramEnd"/>
          </w:p>
        </w:tc>
        <w:tc>
          <w:tcPr>
            <w:tcW w:w="572" w:type="dxa"/>
          </w:tcPr>
          <w:p w14:paraId="7257C43E" w14:textId="1FA421B9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</w:t>
            </w:r>
          </w:p>
        </w:tc>
      </w:tr>
      <w:tr w:rsidR="00BC7D79" w:rsidRPr="00BC7D79" w14:paraId="5C9583A4" w14:textId="2C108266" w:rsidTr="00BC7D79">
        <w:tc>
          <w:tcPr>
            <w:tcW w:w="589" w:type="dxa"/>
          </w:tcPr>
          <w:p w14:paraId="212F7A4B" w14:textId="16E96A8E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3292" w:type="dxa"/>
          </w:tcPr>
          <w:p w14:paraId="0019828C" w14:textId="1B4E2D60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Variant calling</w:t>
            </w:r>
          </w:p>
        </w:tc>
        <w:tc>
          <w:tcPr>
            <w:tcW w:w="1053" w:type="dxa"/>
          </w:tcPr>
          <w:p w14:paraId="6DB1E470" w14:textId="598FD165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sam</w:t>
            </w:r>
            <w:proofErr w:type="spellEnd"/>
            <w:proofErr w:type="gramEnd"/>
          </w:p>
        </w:tc>
        <w:tc>
          <w:tcPr>
            <w:tcW w:w="572" w:type="dxa"/>
          </w:tcPr>
          <w:p w14:paraId="106750E9" w14:textId="76AE79DD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</w:t>
            </w:r>
          </w:p>
        </w:tc>
      </w:tr>
      <w:tr w:rsidR="00BC7D79" w:rsidRPr="00BC7D79" w14:paraId="72BDF39A" w14:textId="6697A38E" w:rsidTr="00BC7D79">
        <w:tc>
          <w:tcPr>
            <w:tcW w:w="589" w:type="dxa"/>
          </w:tcPr>
          <w:p w14:paraId="2396D094" w14:textId="13A999D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3292" w:type="dxa"/>
          </w:tcPr>
          <w:p w14:paraId="6EE801DE" w14:textId="35734E7D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Annotation</w:t>
            </w:r>
          </w:p>
        </w:tc>
        <w:tc>
          <w:tcPr>
            <w:tcW w:w="1053" w:type="dxa"/>
          </w:tcPr>
          <w:p w14:paraId="559C92F0" w14:textId="0C24FE7A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fasta</w:t>
            </w:r>
            <w:proofErr w:type="spellEnd"/>
            <w:proofErr w:type="gramEnd"/>
          </w:p>
        </w:tc>
        <w:tc>
          <w:tcPr>
            <w:tcW w:w="572" w:type="dxa"/>
          </w:tcPr>
          <w:p w14:paraId="626A5F2B" w14:textId="1E861450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</w:t>
            </w:r>
          </w:p>
        </w:tc>
      </w:tr>
    </w:tbl>
    <w:p w14:paraId="1A957F72" w14:textId="11324826" w:rsidR="00760A88" w:rsidRPr="00BC7D79" w:rsidRDefault="00760A88" w:rsidP="00BE0244">
      <w:pPr>
        <w:rPr>
          <w:lang w:val="en-US"/>
        </w:rPr>
      </w:pPr>
    </w:p>
    <w:sectPr w:rsidR="00760A88" w:rsidRPr="00BC7D79" w:rsidSect="00D425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73E1"/>
    <w:multiLevelType w:val="hybridMultilevel"/>
    <w:tmpl w:val="5DDEA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C0925"/>
    <w:multiLevelType w:val="hybridMultilevel"/>
    <w:tmpl w:val="D066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631D"/>
    <w:multiLevelType w:val="hybridMultilevel"/>
    <w:tmpl w:val="4F30436E"/>
    <w:lvl w:ilvl="0" w:tplc="27CAD19A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sz w:val="28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B3526"/>
    <w:multiLevelType w:val="hybridMultilevel"/>
    <w:tmpl w:val="5DDEA858"/>
    <w:lvl w:ilvl="0" w:tplc="CAC6BF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6544226">
    <w:abstractNumId w:val="1"/>
  </w:num>
  <w:num w:numId="2" w16cid:durableId="2042436113">
    <w:abstractNumId w:val="3"/>
  </w:num>
  <w:num w:numId="3" w16cid:durableId="1151100265">
    <w:abstractNumId w:val="0"/>
  </w:num>
  <w:num w:numId="4" w16cid:durableId="143019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33"/>
    <w:rsid w:val="000868F0"/>
    <w:rsid w:val="00091E04"/>
    <w:rsid w:val="000C66EF"/>
    <w:rsid w:val="000E0372"/>
    <w:rsid w:val="001966B1"/>
    <w:rsid w:val="001A1C79"/>
    <w:rsid w:val="001D682B"/>
    <w:rsid w:val="001E621F"/>
    <w:rsid w:val="002407A4"/>
    <w:rsid w:val="00247C95"/>
    <w:rsid w:val="002A4A6C"/>
    <w:rsid w:val="002B6130"/>
    <w:rsid w:val="002C0430"/>
    <w:rsid w:val="002E615A"/>
    <w:rsid w:val="00341715"/>
    <w:rsid w:val="003B727A"/>
    <w:rsid w:val="003F0B8D"/>
    <w:rsid w:val="004144AF"/>
    <w:rsid w:val="00453987"/>
    <w:rsid w:val="0047479F"/>
    <w:rsid w:val="0048109F"/>
    <w:rsid w:val="00496FE7"/>
    <w:rsid w:val="004A246B"/>
    <w:rsid w:val="004C4333"/>
    <w:rsid w:val="004D3E85"/>
    <w:rsid w:val="00527142"/>
    <w:rsid w:val="005513F4"/>
    <w:rsid w:val="0058450A"/>
    <w:rsid w:val="005B3C26"/>
    <w:rsid w:val="00624638"/>
    <w:rsid w:val="006402B5"/>
    <w:rsid w:val="006460BD"/>
    <w:rsid w:val="00647ADC"/>
    <w:rsid w:val="00655EA0"/>
    <w:rsid w:val="0070439F"/>
    <w:rsid w:val="007536B9"/>
    <w:rsid w:val="00760A88"/>
    <w:rsid w:val="007D00DB"/>
    <w:rsid w:val="007D6579"/>
    <w:rsid w:val="008244AE"/>
    <w:rsid w:val="008E27B1"/>
    <w:rsid w:val="009541E5"/>
    <w:rsid w:val="009616D9"/>
    <w:rsid w:val="00A02060"/>
    <w:rsid w:val="00A120FA"/>
    <w:rsid w:val="00A139E9"/>
    <w:rsid w:val="00A22608"/>
    <w:rsid w:val="00A64041"/>
    <w:rsid w:val="00A75680"/>
    <w:rsid w:val="00A84102"/>
    <w:rsid w:val="00BB5D6A"/>
    <w:rsid w:val="00BC7D79"/>
    <w:rsid w:val="00BE0244"/>
    <w:rsid w:val="00C008C2"/>
    <w:rsid w:val="00C109E5"/>
    <w:rsid w:val="00C8790B"/>
    <w:rsid w:val="00CE5E42"/>
    <w:rsid w:val="00D23BA3"/>
    <w:rsid w:val="00D23D74"/>
    <w:rsid w:val="00D42525"/>
    <w:rsid w:val="00D71376"/>
    <w:rsid w:val="00D71ABD"/>
    <w:rsid w:val="00D86690"/>
    <w:rsid w:val="00EC1077"/>
    <w:rsid w:val="00EE3AB8"/>
    <w:rsid w:val="00F04365"/>
    <w:rsid w:val="00F37D6D"/>
    <w:rsid w:val="00FA0641"/>
    <w:rsid w:val="00F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39706"/>
  <w15:chartTrackingRefBased/>
  <w15:docId w15:val="{F9AC176B-C057-BF4E-8E1F-9648AA25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44AE"/>
    <w:pPr>
      <w:ind w:left="720"/>
      <w:contextualSpacing/>
    </w:pPr>
  </w:style>
  <w:style w:type="table" w:styleId="TableGrid">
    <w:name w:val="Table Grid"/>
    <w:basedOn w:val="TableNormal"/>
    <w:uiPriority w:val="39"/>
    <w:rsid w:val="0076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of Expertise and Biological Diagnostic of Came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 Leslie Founou</dc:creator>
  <cp:keywords/>
  <dc:description/>
  <cp:lastModifiedBy>Luria Leslie Founou</cp:lastModifiedBy>
  <cp:revision>1</cp:revision>
  <dcterms:created xsi:type="dcterms:W3CDTF">2023-02-17T07:02:00Z</dcterms:created>
  <dcterms:modified xsi:type="dcterms:W3CDTF">2023-02-18T04:52:00Z</dcterms:modified>
</cp:coreProperties>
</file>