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jc w:val="center"/>
        <w:rPr>
          <w:rFonts w:ascii="Merriweather" w:hAnsi="Merriweather" w:eastAsia="Merriweather" w:cs="Merriweather"/>
          <w:sz w:val="30"/>
          <w:szCs w:val="30"/>
        </w:rPr>
      </w:pPr>
      <w:r>
        <w:rPr>
          <w:rFonts w:eastAsia="Merriweather" w:cs="Merriweather" w:ascii="Merriweather" w:hAnsi="Merriweather"/>
          <w:sz w:val="30"/>
          <w:szCs w:val="30"/>
        </w:rPr>
        <w:t>COMMONHOLD AND LEASHOLD REFORM ACT 2002</w:t>
      </w:r>
    </w:p>
    <w:p>
      <w:pPr>
        <w:pStyle w:val="normal1"/>
        <w:jc w:val="center"/>
        <w:rPr>
          <w:rFonts w:ascii="Merriweather" w:hAnsi="Merriweather" w:eastAsia="Merriweather" w:cs="Merriweather"/>
        </w:rPr>
      </w:pPr>
      <w:r>
        <w:rPr>
          <w:rFonts w:eastAsia="Merriweather" w:cs="Merriweather" w:ascii="Merriweather" w:hAnsi="Merriweather"/>
        </w:rPr>
        <w:t>Notice of Cover</w:t>
      </w:r>
    </w:p>
    <w:p>
      <w:pPr>
        <w:pStyle w:val="normal1"/>
        <w:rPr>
          <w:rFonts w:ascii="Merriweather" w:hAnsi="Merriweather" w:eastAsia="Merriweather" w:cs="Merriweather"/>
        </w:rPr>
      </w:pPr>
      <w:r>
        <w:rPr>
          <w:rFonts w:eastAsia="Merriweather" w:cs="Merriweather" w:ascii="Merriweather" w:hAnsi="Merriweather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Merriweather" w:hAnsi="Merriweather" w:eastAsia="Merriweather" w:cs="Merriweather"/>
          <w:u w:val="none"/>
        </w:rPr>
      </w:pPr>
      <w:r>
        <w:rPr>
          <w:rFonts w:eastAsia="Merriweather" w:cs="Merriweather" w:ascii="Merriweather" w:hAnsi="Merriweather"/>
        </w:rPr>
        <w:t>To Compton Group, PO Box 425, Swansea, SA6 8YH</w:t>
      </w:r>
    </w:p>
    <w:p>
      <w:pPr>
        <w:pStyle w:val="normal1"/>
        <w:ind w:hanging="0" w:left="720"/>
        <w:rPr>
          <w:rFonts w:ascii="Merriweather" w:hAnsi="Merriweather" w:eastAsia="Merriweather" w:cs="Merriweather"/>
        </w:rPr>
      </w:pPr>
      <w:r>
        <w:rPr>
          <w:rFonts w:eastAsia="Merriweather" w:cs="Merriweather" w:ascii="Merriweather" w:hAnsi="Merriweather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Merriweather" w:hAnsi="Merriweather" w:eastAsia="Merriweather" w:cs="Merriweather"/>
          <w:u w:val="none"/>
        </w:rPr>
      </w:pPr>
      <w:r>
        <w:rPr>
          <w:rFonts w:eastAsia="Merriweather" w:cs="Merriweather" w:ascii="Merriweather" w:hAnsi="Merriweather"/>
        </w:rPr>
        <w:t>We are the tenants of house at {{address}}.</w:t>
      </w:r>
    </w:p>
    <w:p>
      <w:pPr>
        <w:pStyle w:val="normal1"/>
        <w:ind w:hanging="0" w:left="720"/>
        <w:rPr>
          <w:rFonts w:ascii="Merriweather" w:hAnsi="Merriweather" w:eastAsia="Merriweather" w:cs="Merriweather"/>
        </w:rPr>
      </w:pPr>
      <w:r>
        <w:rPr>
          <w:rFonts w:eastAsia="Merriweather" w:cs="Merriweather" w:ascii="Merriweather" w:hAnsi="Merriweather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Merriweather" w:hAnsi="Merriweather" w:eastAsia="Merriweather" w:cs="Merriweather"/>
          <w:u w:val="none"/>
        </w:rPr>
      </w:pPr>
      <w:r>
        <w:rPr>
          <w:rFonts w:eastAsia="Merriweather" w:cs="Merriweather" w:ascii="Merriweather" w:hAnsi="Merriweather"/>
        </w:rPr>
        <w:t xml:space="preserve">The house is insured under an insurance policy issued by </w:t>
      </w:r>
      <w:r>
        <w:rPr>
          <w:rFonts w:eastAsia="Merriweather" w:cs="Merriweather" w:ascii="Merriweather" w:hAnsi="Merriweather"/>
          <w:i/>
          <w:iCs/>
        </w:rPr>
        <w:t>{{insurer_address}}</w:t>
      </w:r>
      <w:r>
        <w:rPr>
          <w:rFonts w:eastAsia="Merriweather" w:cs="Merriweather" w:ascii="Merriweather" w:hAnsi="Merriweather"/>
        </w:rPr>
        <w:t xml:space="preserve"> who is an authorised insurer within the meaning of section 164 of the Commonhold and Leasehold Reform Act 2002.</w:t>
      </w:r>
    </w:p>
    <w:p>
      <w:pPr>
        <w:pStyle w:val="normal1"/>
        <w:ind w:hanging="0" w:left="720"/>
        <w:rPr>
          <w:rFonts w:ascii="Merriweather" w:hAnsi="Merriweather" w:eastAsia="Merriweather" w:cs="Merriweather"/>
        </w:rPr>
      </w:pPr>
      <w:r>
        <w:rPr>
          <w:rFonts w:eastAsia="Merriweather" w:cs="Merriweather" w:ascii="Merriweather" w:hAnsi="Merriweather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Merriweather" w:hAnsi="Merriweather" w:eastAsia="Merriweather" w:cs="Merriweather"/>
          <w:u w:val="none"/>
        </w:rPr>
      </w:pPr>
      <w:r>
        <w:rPr>
          <w:rFonts w:eastAsia="Merriweather" w:cs="Merriweather" w:ascii="Merriweather" w:hAnsi="Merriweather"/>
        </w:rPr>
        <w:t>The policy number is {{policy_number}}.</w:t>
      </w:r>
    </w:p>
    <w:p>
      <w:pPr>
        <w:pStyle w:val="normal1"/>
        <w:ind w:hanging="0" w:left="720"/>
        <w:rPr>
          <w:rFonts w:ascii="Merriweather" w:hAnsi="Merriweather" w:eastAsia="Merriweather" w:cs="Merriweather"/>
        </w:rPr>
      </w:pPr>
      <w:r>
        <w:rPr>
          <w:rFonts w:eastAsia="Merriweather" w:cs="Merriweather" w:ascii="Merriweather" w:hAnsi="Merriweather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Merriweather" w:hAnsi="Merriweather" w:eastAsia="Merriweather" w:cs="Merriweather"/>
          <w:u w:val="none"/>
        </w:rPr>
      </w:pPr>
      <w:r>
        <w:rPr>
          <w:rFonts w:eastAsia="Merriweather" w:cs="Merriweather" w:ascii="Merriweather" w:hAnsi="Merriweather"/>
        </w:rPr>
        <w:t>The risks covered by the policy are set out in the pages attached to this notice.</w:t>
      </w:r>
    </w:p>
    <w:p>
      <w:pPr>
        <w:pStyle w:val="normal1"/>
        <w:ind w:hanging="0" w:left="720"/>
        <w:rPr>
          <w:rFonts w:ascii="Merriweather" w:hAnsi="Merriweather" w:eastAsia="Merriweather" w:cs="Merriweather"/>
        </w:rPr>
      </w:pPr>
      <w:r>
        <w:rPr>
          <w:rFonts w:eastAsia="Merriweather" w:cs="Merriweather" w:ascii="Merriweather" w:hAnsi="Merriweather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Merriweather" w:hAnsi="Merriweather" w:eastAsia="Merriweather" w:cs="Merriweather"/>
          <w:u w:val="none"/>
        </w:rPr>
      </w:pPr>
      <w:r>
        <w:rPr>
          <w:rFonts w:eastAsia="Merriweather" w:cs="Merriweather" w:ascii="Merriweather" w:hAnsi="Merriweather"/>
        </w:rPr>
        <w:t xml:space="preserve">The amount of cover (the sum insured) is {{insurance_sum}} and is provided for the period beginning on </w:t>
      </w:r>
      <w:r>
        <w:rPr>
          <w:rFonts w:eastAsia="Merriweather" w:cs="Merriweather" w:ascii="Merriweather" w:hAnsi="Merriweather"/>
        </w:rPr>
        <w:t>{{</w:t>
      </w:r>
      <w:r>
        <w:rPr>
          <w:rFonts w:eastAsia="Merriweather" w:cs="Merriweather" w:ascii="Merriweather" w:hAnsi="Merriweather"/>
        </w:rPr>
        <w:t>start_date}} and ending on {{end_date}}.</w:t>
      </w:r>
    </w:p>
    <w:p>
      <w:pPr>
        <w:pStyle w:val="normal1"/>
        <w:ind w:hanging="0" w:left="720"/>
        <w:rPr>
          <w:rFonts w:ascii="Merriweather" w:hAnsi="Merriweather" w:eastAsia="Merriweather" w:cs="Merriweather"/>
        </w:rPr>
      </w:pPr>
      <w:r>
        <w:rPr>
          <w:rFonts w:eastAsia="Merriweather" w:cs="Merriweather" w:ascii="Merriweather" w:hAnsi="Merriweather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Merriweather" w:hAnsi="Merriweather" w:eastAsia="Merriweather" w:cs="Merriweather"/>
          <w:u w:val="none"/>
        </w:rPr>
      </w:pPr>
      <w:r>
        <w:rPr>
          <w:rFonts w:eastAsia="Merriweather" w:cs="Merriweather" w:ascii="Merriweather" w:hAnsi="Merriweather"/>
        </w:rPr>
        <w:t>Premiums are payable {{regularity}}.</w:t>
      </w:r>
    </w:p>
    <w:p>
      <w:pPr>
        <w:pStyle w:val="normal1"/>
        <w:ind w:hanging="0" w:left="720"/>
        <w:rPr>
          <w:rFonts w:ascii="Merriweather" w:hAnsi="Merriweather" w:eastAsia="Merriweather" w:cs="Merriweather"/>
        </w:rPr>
      </w:pPr>
      <w:r>
        <w:rPr>
          <w:rFonts w:eastAsia="Merriweather" w:cs="Merriweather" w:ascii="Merriweather" w:hAnsi="Merriweather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Merriweather" w:hAnsi="Merriweather" w:eastAsia="Merriweather" w:cs="Merriweather"/>
          <w:u w:val="none"/>
        </w:rPr>
      </w:pPr>
      <w:r>
        <w:rPr>
          <w:rFonts w:eastAsia="Merriweather" w:cs="Merriweather" w:ascii="Merriweather" w:hAnsi="Merriweather"/>
        </w:rPr>
        <w:t xml:space="preserve">The amount of excess under the policy is payable whenever the insurer makes a payment under the policy. The following excesses apply. {{excess}} all claims. </w:t>
      </w:r>
    </w:p>
    <w:p>
      <w:pPr>
        <w:pStyle w:val="normal1"/>
        <w:ind w:hanging="0" w:left="720"/>
        <w:rPr>
          <w:rFonts w:ascii="Merriweather" w:hAnsi="Merriweather" w:eastAsia="Merriweather" w:cs="Merriweather"/>
        </w:rPr>
      </w:pPr>
      <w:r>
        <w:rPr>
          <w:rFonts w:eastAsia="Merriweather" w:cs="Merriweather" w:ascii="Merriweather" w:hAnsi="Merriweather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Merriweather" w:hAnsi="Merriweather" w:eastAsia="Merriweather" w:cs="Merriweather"/>
          <w:u w:val="none"/>
        </w:rPr>
      </w:pPr>
      <w:r>
        <w:rPr>
          <w:rFonts w:eastAsia="Merriweather" w:cs="Merriweather" w:ascii="Merriweather" w:hAnsi="Merriweather"/>
        </w:rPr>
        <w:t>The policy has been renewed and was last renewed on {{renewed_date}}.</w:t>
      </w:r>
    </w:p>
    <w:p>
      <w:pPr>
        <w:pStyle w:val="normal1"/>
        <w:ind w:hanging="0" w:left="720"/>
        <w:rPr>
          <w:rFonts w:ascii="Merriweather" w:hAnsi="Merriweather" w:eastAsia="Merriweather" w:cs="Merriweather"/>
        </w:rPr>
      </w:pPr>
      <w:r>
        <w:rPr>
          <w:rFonts w:eastAsia="Merriweather" w:cs="Merriweather" w:ascii="Merriweather" w:hAnsi="Merriweather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Merriweather" w:hAnsi="Merriweather" w:eastAsia="Merriweather" w:cs="Merriweather"/>
          <w:u w:val="none"/>
        </w:rPr>
      </w:pPr>
      <w:r>
        <w:rPr>
          <w:rFonts w:eastAsia="Merriweather" w:cs="Merriweather" w:ascii="Merriweather" w:hAnsi="Merriweather"/>
        </w:rPr>
        <w:t>We are satisfied that the policy covers our interests.</w:t>
      </w:r>
    </w:p>
    <w:p>
      <w:pPr>
        <w:pStyle w:val="normal1"/>
        <w:ind w:hanging="0" w:left="720"/>
        <w:rPr>
          <w:rFonts w:ascii="Merriweather" w:hAnsi="Merriweather" w:eastAsia="Merriweather" w:cs="Merriweather"/>
        </w:rPr>
      </w:pPr>
      <w:r>
        <w:rPr>
          <w:rFonts w:eastAsia="Merriweather" w:cs="Merriweather" w:ascii="Merriweather" w:hAnsi="Merriweather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Merriweather" w:hAnsi="Merriweather" w:eastAsia="Merriweather" w:cs="Merriweather"/>
          <w:u w:val="none"/>
        </w:rPr>
      </w:pPr>
      <w:r>
        <w:rPr>
          <w:rFonts w:eastAsia="Merriweather" w:cs="Merriweather" w:ascii="Merriweather" w:hAnsi="Merriweather"/>
        </w:rPr>
        <w:t>We have no reason to believe that the policy does not cover your interests.</w:t>
      </w:r>
    </w:p>
    <w:p>
      <w:pPr>
        <w:pStyle w:val="normal1"/>
        <w:rPr>
          <w:rFonts w:ascii="Merriweather" w:hAnsi="Merriweather" w:eastAsia="Merriweather" w:cs="Merriweather"/>
        </w:rPr>
      </w:pPr>
      <w:r>
        <w:rPr>
          <w:rFonts w:eastAsia="Merriweather" w:cs="Merriweather" w:ascii="Merriweather" w:hAnsi="Merriweather"/>
        </w:rPr>
        <w:drawing>
          <wp:anchor behindDoc="0" distT="114300" distB="114300" distL="114300" distR="114300" simplePos="0" locked="0" layoutInCell="0" allowOverlap="1" relativeHeight="2">
            <wp:simplePos x="0" y="0"/>
            <wp:positionH relativeFrom="column">
              <wp:posOffset>-276225</wp:posOffset>
            </wp:positionH>
            <wp:positionV relativeFrom="paragraph">
              <wp:posOffset>238125</wp:posOffset>
            </wp:positionV>
            <wp:extent cx="2491105" cy="634365"/>
            <wp:effectExtent l="0" t="0" r="0" b="0"/>
            <wp:wrapSquare wrapText="bothSides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105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Merriweather" w:hAnsi="Merriweather" w:eastAsia="Merriweather" w:cs="Merriweather"/>
        </w:rPr>
      </w:pPr>
      <w:r>
        <w:rPr>
          <w:rFonts w:eastAsia="Merriweather" w:cs="Merriweather" w:ascii="Merriweather" w:hAnsi="Merriweather"/>
        </w:rPr>
      </w:r>
    </w:p>
    <w:p>
      <w:pPr>
        <w:pStyle w:val="normal1"/>
        <w:rPr>
          <w:rFonts w:ascii="Merriweather" w:hAnsi="Merriweather" w:eastAsia="Merriweather" w:cs="Merriweather"/>
        </w:rPr>
      </w:pPr>
      <w:r>
        <w:rPr>
          <w:rFonts w:eastAsia="Merriweather" w:cs="Merriweather" w:ascii="Merriweather" w:hAnsi="Merriweather"/>
        </w:rPr>
      </w:r>
    </w:p>
    <w:p>
      <w:pPr>
        <w:pStyle w:val="normal1"/>
        <w:rPr>
          <w:rFonts w:ascii="Merriweather" w:hAnsi="Merriweather" w:eastAsia="Merriweather" w:cs="Merriweather"/>
        </w:rPr>
      </w:pPr>
      <w:r>
        <w:rPr>
          <w:rFonts w:eastAsia="Merriweather" w:cs="Merriweather" w:ascii="Merriweather" w:hAnsi="Merriweather"/>
        </w:rPr>
      </w:r>
    </w:p>
    <w:p>
      <w:pPr>
        <w:pStyle w:val="normal1"/>
        <w:rPr>
          <w:rFonts w:ascii="Merriweather" w:hAnsi="Merriweather" w:eastAsia="Merriweather" w:cs="Merriweather"/>
        </w:rPr>
      </w:pPr>
      <w:r>
        <w:rPr>
          <w:rFonts w:eastAsia="Merriweather" w:cs="Merriweather" w:ascii="Merriweather" w:hAnsi="Merriweather"/>
        </w:rPr>
      </w:r>
    </w:p>
    <w:p>
      <w:pPr>
        <w:pStyle w:val="normal1"/>
        <w:rPr>
          <w:rFonts w:ascii="Merriweather" w:hAnsi="Merriweather" w:eastAsia="Merriweather" w:cs="Merriweather"/>
        </w:rPr>
      </w:pPr>
      <w:r>
        <w:rPr>
          <w:rFonts w:eastAsia="Merriweather" w:cs="Merriweather" w:ascii="Merriweather" w:hAnsi="Merriweather"/>
        </w:rPr>
        <w:t>{{date}}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Merriweather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1</Pages>
  <Words>174</Words>
  <Characters>869</Characters>
  <CharactersWithSpaces>1019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2026-01-05T20:43:15Z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