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1726" w14:textId="2335710E" w:rsidR="00D80E24" w:rsidRPr="00AA4C06" w:rsidRDefault="00AA4C06" w:rsidP="00AA4C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A4C06">
        <w:rPr>
          <w:rFonts w:ascii="Arial" w:hAnsi="Arial" w:cs="Arial"/>
          <w:sz w:val="24"/>
          <w:szCs w:val="24"/>
          <w:shd w:val="clear" w:color="auto" w:fill="FFFFFF"/>
        </w:rPr>
        <w:t xml:space="preserve"> L</w:t>
      </w:r>
      <w:r w:rsidR="00D80E24" w:rsidRPr="00AA4C06">
        <w:rPr>
          <w:rFonts w:ascii="Arial" w:hAnsi="Arial" w:cs="Arial"/>
          <w:sz w:val="24"/>
          <w:szCs w:val="24"/>
          <w:shd w:val="clear" w:color="auto" w:fill="FFFFFF"/>
        </w:rPr>
        <w:t>os requisitos legales de cada diligencia</w:t>
      </w:r>
      <w:r w:rsidR="002D65C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6383EA9" w14:textId="02114FAE" w:rsidR="00D80E24" w:rsidRPr="002D65CF" w:rsidRDefault="00D80E24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D65CF">
        <w:rPr>
          <w:rFonts w:ascii="Arial" w:hAnsi="Arial" w:cs="Arial"/>
          <w:sz w:val="24"/>
          <w:szCs w:val="24"/>
          <w:shd w:val="clear" w:color="auto" w:fill="FFFFFF"/>
        </w:rPr>
        <w:t>El Código Procesal Penal establece</w:t>
      </w:r>
      <w:r w:rsidR="00DC531C" w:rsidRPr="002D65CF">
        <w:rPr>
          <w:rFonts w:ascii="Arial" w:hAnsi="Arial" w:cs="Arial"/>
          <w:sz w:val="24"/>
          <w:szCs w:val="24"/>
          <w:shd w:val="clear" w:color="auto" w:fill="FFFFFF"/>
        </w:rPr>
        <w:t xml:space="preserve"> en sus artículos 227, 228 y 229</w:t>
      </w:r>
      <w:r w:rsidR="00DC531C">
        <w:rPr>
          <w:rStyle w:val="FootnoteReference"/>
          <w:rFonts w:ascii="Arial" w:hAnsi="Arial" w:cs="Arial"/>
          <w:sz w:val="24"/>
          <w:szCs w:val="24"/>
          <w:shd w:val="clear" w:color="auto" w:fill="FFFFFF"/>
        </w:rPr>
        <w:footnoteReference w:id="1"/>
      </w:r>
      <w:r w:rsidRPr="002D65CF">
        <w:rPr>
          <w:rFonts w:ascii="Arial" w:hAnsi="Arial" w:cs="Arial"/>
          <w:sz w:val="24"/>
          <w:szCs w:val="24"/>
          <w:shd w:val="clear" w:color="auto" w:fill="FFFFFF"/>
        </w:rPr>
        <w:t xml:space="preserve"> los siguientes requisitos de esta diligencia: </w:t>
      </w:r>
    </w:p>
    <w:p w14:paraId="41FED8D4" w14:textId="4E6958F1" w:rsidR="00AA4C06" w:rsidRPr="002D65CF" w:rsidRDefault="00AA4C06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>Ordenada por el Ministerio P</w:t>
      </w:r>
      <w:r w:rsid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>ú</w:t>
      </w: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blico o el Tribunal. </w:t>
      </w:r>
    </w:p>
    <w:p w14:paraId="0D164A7A" w14:textId="647CB290" w:rsidR="00AA4C06" w:rsidRPr="002D65CF" w:rsidRDefault="00AA4C06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Debe comunicarse de previo a las partes. </w:t>
      </w:r>
    </w:p>
    <w:p w14:paraId="1EDB2F3B" w14:textId="016F3285" w:rsidR="00AA4C06" w:rsidRPr="002D65CF" w:rsidRDefault="00AA4C06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Para identificar y establecer si la persona mencionada es efectivamente la que </w:t>
      </w:r>
      <w:r w:rsidR="00DC531C"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>cometió</w:t>
      </w: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 el delito. </w:t>
      </w:r>
    </w:p>
    <w:p w14:paraId="21F1CE6B" w14:textId="6412DC06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Interrogatorio de la persona que va a reconocer incluyendo: descripción física, si la conocía previo al hecho o no, si la ha visto personalmente o en imagen, si después del hecho la ha visto (en caso positivo indicar lugar y motivo). </w:t>
      </w:r>
    </w:p>
    <w:p w14:paraId="428FBA68" w14:textId="6A397C1B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El declarante será juramentado. </w:t>
      </w:r>
    </w:p>
    <w:p w14:paraId="3A5AF5B2" w14:textId="75A14531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El imputado o sospechoso escogerá su ubicación entre las demás personas. </w:t>
      </w:r>
    </w:p>
    <w:p w14:paraId="46E86ED9" w14:textId="4EE44B28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Las otras personas deberán tener características físicas similares. </w:t>
      </w:r>
    </w:p>
    <w:p w14:paraId="27240CE2" w14:textId="0AEFA509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>Seguidamente se solicita a la persona que lleva a cabo el reconocimiento que diga si la persona señalada se encuentra entre las personas y que la señale con precisión.</w:t>
      </w:r>
    </w:p>
    <w:p w14:paraId="269AF1AF" w14:textId="41EBF44B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lastRenderedPageBreak/>
        <w:t xml:space="preserve">En caso positivo, la persona debe señalar si observa alguna diferencia o semejanza entre el aspecto actual y el aspecto al momento de cometer el hecho. </w:t>
      </w:r>
    </w:p>
    <w:p w14:paraId="1407C3EE" w14:textId="054B0A53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>Confección de acta con todos los datos útiles incluyendo nombre y domicilio de los que hayan conformado la fila de personas.</w:t>
      </w:r>
    </w:p>
    <w:p w14:paraId="48824FD8" w14:textId="25D97FF1" w:rsidR="00DC531C" w:rsidRPr="002D65CF" w:rsidRDefault="00DC531C" w:rsidP="002D65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Procede aún sin consentimiento del imputado. </w:t>
      </w:r>
    </w:p>
    <w:p w14:paraId="3141C1BF" w14:textId="77777777" w:rsidR="00DC531C" w:rsidRPr="00DC531C" w:rsidRDefault="00DC531C" w:rsidP="00DC531C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</w:p>
    <w:p w14:paraId="0B46E48F" w14:textId="1431919F" w:rsidR="002D65CF" w:rsidRPr="00AC66FC" w:rsidRDefault="00D80E24" w:rsidP="002D65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AA4C06">
        <w:rPr>
          <w:rFonts w:ascii="Arial" w:hAnsi="Arial" w:cs="Arial"/>
          <w:sz w:val="24"/>
          <w:szCs w:val="24"/>
          <w:shd w:val="clear" w:color="auto" w:fill="FFFFFF"/>
        </w:rPr>
        <w:t xml:space="preserve">la naturaleza y fundamento de la diligencia </w:t>
      </w:r>
    </w:p>
    <w:p w14:paraId="77852E4B" w14:textId="2CCC2688" w:rsidR="002D65CF" w:rsidRDefault="002D65CF" w:rsidP="002D65CF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2D65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La naturaleza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>del reconocimiento físico es una diligencia probatoria</w:t>
      </w:r>
      <w:r w:rsidR="003D10C9">
        <w:rPr>
          <w:rFonts w:ascii="Arial" w:eastAsia="Times New Roman" w:hAnsi="Arial" w:cs="Arial"/>
          <w:noProof w:val="0"/>
          <w:color w:val="000000"/>
          <w:sz w:val="24"/>
          <w:szCs w:val="24"/>
        </w:rPr>
        <w:t>, un acto procesal reglado que busca elementos probatorios relacionados a la identidad del sospechoso o el imputado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. Se encuentra mencionada en el Título V, Otros Medios de Prueba de nuestro Código Procesal Penal. </w:t>
      </w:r>
      <w:r w:rsidR="003D10C9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Su fundamento legal se mencionó en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la pregunta número uno de la presente Tarea. </w:t>
      </w:r>
      <w:r w:rsidR="003D10C9">
        <w:rPr>
          <w:rFonts w:ascii="Arial" w:eastAsia="Times New Roman" w:hAnsi="Arial" w:cs="Arial"/>
          <w:noProof w:val="0"/>
          <w:color w:val="000000"/>
          <w:sz w:val="24"/>
          <w:szCs w:val="24"/>
        </w:rPr>
        <w:t>En el caso en cuestión, se solicitó el reconocimiento de un sujeto quién no era conocido para dos sujetos (para uno de ellos sí), que ya había sido retratado y reconocido en álbum fotográfico</w:t>
      </w:r>
      <w:r w:rsidR="00AC66FC">
        <w:rPr>
          <w:rFonts w:ascii="Arial" w:eastAsia="Times New Roman" w:hAnsi="Arial" w:cs="Arial"/>
          <w:noProof w:val="0"/>
          <w:color w:val="000000"/>
          <w:sz w:val="24"/>
          <w:szCs w:val="24"/>
        </w:rPr>
        <w:t>.</w:t>
      </w:r>
    </w:p>
    <w:p w14:paraId="066D8C87" w14:textId="77777777" w:rsidR="002D65CF" w:rsidRPr="002D65CF" w:rsidRDefault="002D65CF" w:rsidP="002D65CF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</w:p>
    <w:p w14:paraId="01637A2C" w14:textId="05C06A2B" w:rsidR="00AA4C06" w:rsidRPr="003D10C9" w:rsidRDefault="00D80E24" w:rsidP="00AA4C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AA4C06">
        <w:rPr>
          <w:rFonts w:ascii="Arial" w:hAnsi="Arial" w:cs="Arial"/>
          <w:sz w:val="24"/>
          <w:szCs w:val="24"/>
          <w:shd w:val="clear" w:color="auto" w:fill="FFFFFF"/>
        </w:rPr>
        <w:t>las partes que necesariamente deben intervenir o pueden ordenar la diligencia</w:t>
      </w:r>
      <w:r w:rsidR="003D10C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D49062A" w14:textId="77777777" w:rsidR="003D10C9" w:rsidRPr="003D10C9" w:rsidRDefault="003D10C9" w:rsidP="003D10C9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3D10C9">
        <w:rPr>
          <w:rFonts w:ascii="Arial" w:eastAsia="Times New Roman" w:hAnsi="Arial" w:cs="Arial"/>
          <w:noProof w:val="0"/>
          <w:color w:val="000000"/>
          <w:sz w:val="24"/>
          <w:szCs w:val="24"/>
        </w:rPr>
        <w:t>3) las partes que necesariamente deben intervenir o pueden ordenar la diligencia</w:t>
      </w:r>
    </w:p>
    <w:p w14:paraId="057E62FC" w14:textId="77777777" w:rsidR="003D10C9" w:rsidRPr="003D10C9" w:rsidRDefault="003D10C9" w:rsidP="003D10C9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</w:p>
    <w:p w14:paraId="3853F153" w14:textId="34B78F56" w:rsidR="003D10C9" w:rsidRPr="003D10C9" w:rsidRDefault="003D10C9" w:rsidP="003D10C9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3D10C9">
        <w:rPr>
          <w:rFonts w:ascii="Arial" w:eastAsia="Times New Roman" w:hAnsi="Arial" w:cs="Arial"/>
          <w:noProof w:val="0"/>
          <w:color w:val="000000"/>
          <w:sz w:val="24"/>
          <w:szCs w:val="24"/>
        </w:rPr>
        <w:t>Según el Art.227 del Código Procesal Penal, El Ministerio Público o el Tribunal son los que pueden ordenar tal diligencia, con previa comunicación a las partes, que se practique el reconocimiento de una persona para identificarla o establecer que quien la menciona efectivamente la conoce o la ha visto.</w:t>
      </w:r>
    </w:p>
    <w:p w14:paraId="41B5B93B" w14:textId="47C084BF" w:rsidR="003D10C9" w:rsidRPr="003D10C9" w:rsidRDefault="003D10C9" w:rsidP="003D10C9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3D10C9">
        <w:rPr>
          <w:rFonts w:ascii="Arial" w:eastAsia="Times New Roman" w:hAnsi="Arial" w:cs="Arial"/>
          <w:noProof w:val="0"/>
          <w:color w:val="000000"/>
          <w:sz w:val="24"/>
          <w:szCs w:val="24"/>
        </w:rPr>
        <w:t>El Ministerio Publico fue quien solicitó la diligencia de reconocimiento físico “su fin en este caso del reconocimiento fue establecer si la persona sometida al proceso es la misma a la cual se dirige la pretensión represiva, y en este caso ese dato probatorio quedó demostrado”. Por lo que las partes intervinientes son el Ministerio Público, la Defensa, los ofendidos y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>ó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 testigos, el imputado y el tribunal.</w:t>
      </w:r>
    </w:p>
    <w:p w14:paraId="1CC6347E" w14:textId="56966FCB" w:rsidR="003242BD" w:rsidRPr="003D10C9" w:rsidRDefault="00D80E24" w:rsidP="00AA4C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 w:rsidRPr="00AA4C06">
        <w:rPr>
          <w:rFonts w:ascii="Arial" w:hAnsi="Arial" w:cs="Arial"/>
          <w:sz w:val="24"/>
          <w:szCs w:val="24"/>
          <w:shd w:val="clear" w:color="auto" w:fill="FFFFFF"/>
        </w:rPr>
        <w:lastRenderedPageBreak/>
        <w:t>identificar los posibles efectos para el proceso en caso de que no se cumpla con lo dispuesta en la norma.</w:t>
      </w:r>
    </w:p>
    <w:p w14:paraId="133CACD1" w14:textId="50D5CEF8" w:rsidR="003D10C9" w:rsidRPr="003D10C9" w:rsidRDefault="003D10C9" w:rsidP="003D10C9">
      <w:pPr>
        <w:spacing w:line="36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</w:rPr>
        <w:t>Los defectos procesales pueden conllevar a la nulidad de la diligencia, cuando se determine que se violentó de manera absoluta algún derecho del imputado.</w:t>
      </w:r>
      <w:r w:rsidR="00BA3FCF">
        <w:rPr>
          <w:rFonts w:ascii="Arial" w:eastAsia="Times New Roman" w:hAnsi="Arial" w:cs="Arial"/>
          <w:noProof w:val="0"/>
          <w:color w:val="000000"/>
          <w:sz w:val="24"/>
          <w:szCs w:val="24"/>
        </w:rPr>
        <w:t xml:space="preserve"> No obstante, en el caso en cuestión, el tribunal determinó que la falta del requisito legal no vicia de nulidad absoluta la diligencia por no afectar derechos de la parte. </w:t>
      </w:r>
    </w:p>
    <w:sectPr w:rsidR="003D10C9" w:rsidRPr="003D10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D37C0" w14:textId="77777777" w:rsidR="005E6FA7" w:rsidRDefault="005E6FA7" w:rsidP="00DC531C">
      <w:pPr>
        <w:spacing w:after="0" w:line="240" w:lineRule="auto"/>
      </w:pPr>
      <w:r>
        <w:separator/>
      </w:r>
    </w:p>
  </w:endnote>
  <w:endnote w:type="continuationSeparator" w:id="0">
    <w:p w14:paraId="0F6AF08B" w14:textId="77777777" w:rsidR="005E6FA7" w:rsidRDefault="005E6FA7" w:rsidP="00DC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36388" w14:textId="77777777" w:rsidR="005E6FA7" w:rsidRDefault="005E6FA7" w:rsidP="00DC531C">
      <w:pPr>
        <w:spacing w:after="0" w:line="240" w:lineRule="auto"/>
      </w:pPr>
      <w:r>
        <w:separator/>
      </w:r>
    </w:p>
  </w:footnote>
  <w:footnote w:type="continuationSeparator" w:id="0">
    <w:p w14:paraId="742C8FBB" w14:textId="77777777" w:rsidR="005E6FA7" w:rsidRDefault="005E6FA7" w:rsidP="00DC531C">
      <w:pPr>
        <w:spacing w:after="0" w:line="240" w:lineRule="auto"/>
      </w:pPr>
      <w:r>
        <w:continuationSeparator/>
      </w:r>
    </w:p>
  </w:footnote>
  <w:footnote w:id="1">
    <w:p w14:paraId="79C5F7CF" w14:textId="77777777" w:rsidR="003D10C9" w:rsidRPr="00DC531C" w:rsidRDefault="003D10C9" w:rsidP="002D65CF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DC531C">
        <w:rPr>
          <w:rFonts w:ascii="Arial" w:eastAsia="Times New Roman" w:hAnsi="Arial" w:cs="Arial"/>
          <w:noProof w:val="0"/>
          <w:color w:val="000000"/>
          <w:sz w:val="20"/>
          <w:szCs w:val="20"/>
        </w:rPr>
        <w:t>ARTICULO 227.- Reconocimiento de personas El Ministerio Público o el tribunal podrán ordenar, con comunicación previa a las partes, que se practique el reconocimiento de una persona, para identificarla o establecer que quien la menciona efectivamente la conoce o la ha visto.</w:t>
      </w:r>
      <w:r w:rsidRPr="00DC531C">
        <w:rPr>
          <w:rFonts w:ascii="Arial" w:eastAsia="Times New Roman" w:hAnsi="Arial" w:cs="Arial"/>
          <w:noProof w:val="0"/>
          <w:color w:val="000000"/>
          <w:sz w:val="20"/>
          <w:szCs w:val="20"/>
        </w:rPr>
        <w:br/>
        <w:t>ARTICULO 228.- Procedimiento para reconocer personas Antes del reconocimiento, quien deba hacerlo será interrogado para que describa a la persona de que se trata, diga si la conoce o si, con anterioridad, la ha visto personalmente o en imagen. Además, deberá manifestar si después del hecho ha visto nuevamente a la persona, en qué lugar y por qué motivo. A excepción del imputado, el declarante será instruido acerca de sus obligaciones y de las responsabilidades por su incumplimiento y prestará juramento de decir la verdad, según sus creencias. Posteriormente, se invitará a la persona que debe ser sometida a reconocimiento a que escoja su colocación entre otras de aspecto físico semejante y se solicitará, a quien lleva a cabo el reconocimiento, que diga si entre las personas presentes se halla la que mencionó y, en caso afirmativo, la señale con precisión. Cuando la haya reconocido, expresará las diferencias y semejanzas observadas entre el estado de la persona señalada y el que tenía en la época a que alude su declaración anterior. Esa diligencia se hará constar en una acta, donde se consignarán las circunstancias útiles, incluso el nombre y domicilio de los que hayan formado la fila de personas. El reconocimiento procederá aun sin consentimiento del imputado.</w:t>
      </w:r>
    </w:p>
    <w:p w14:paraId="3AC0B157" w14:textId="77777777" w:rsidR="003D10C9" w:rsidRDefault="003D10C9" w:rsidP="002D65CF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  <w:r w:rsidRPr="00DC531C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ARTICULO 229.- Pluralidad de reconocimientos Cuando varias personas deban reconocer a una sola, cada reconocimiento se practicará por separado, sin que se comuniquen entre sí. Si una persona debe reconocer a varias, el reconocimiento de todas podrá efectuarse en un solo acto, siempre que no perjudique la investigación o la defensa. </w:t>
      </w:r>
    </w:p>
    <w:p w14:paraId="6D2A8A8B" w14:textId="0D603B3D" w:rsidR="003D10C9" w:rsidRDefault="003D10C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2F15C" w14:textId="3291DB4A" w:rsidR="00BA3FCF" w:rsidRDefault="00BA3FCF">
    <w:pPr>
      <w:pStyle w:val="Header"/>
    </w:pPr>
    <w:r>
      <w:t xml:space="preserve">Luis Arce </w:t>
    </w:r>
  </w:p>
  <w:p w14:paraId="20966D97" w14:textId="1AFC72B4" w:rsidR="00BA3FCF" w:rsidRDefault="00BA3FCF">
    <w:pPr>
      <w:pStyle w:val="Header"/>
    </w:pPr>
    <w:r>
      <w:t>Christopher Rivera</w:t>
    </w:r>
  </w:p>
  <w:p w14:paraId="61C933F0" w14:textId="74E29916" w:rsidR="00BA3FCF" w:rsidRDefault="00BA3FCF">
    <w:pPr>
      <w:pStyle w:val="Header"/>
    </w:pPr>
    <w:r>
      <w:t xml:space="preserve">SUamy Campos </w:t>
    </w:r>
  </w:p>
  <w:p w14:paraId="3417CDB7" w14:textId="7A468AC6" w:rsidR="00BA3FCF" w:rsidRDefault="00BA3FCF">
    <w:pPr>
      <w:pStyle w:val="Header"/>
    </w:pPr>
    <w:r>
      <w:t>Oscar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4213"/>
    <w:multiLevelType w:val="hybridMultilevel"/>
    <w:tmpl w:val="6DD61C7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FCC40C7"/>
    <w:multiLevelType w:val="hybridMultilevel"/>
    <w:tmpl w:val="BF92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60A58"/>
    <w:multiLevelType w:val="hybridMultilevel"/>
    <w:tmpl w:val="E25C8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24"/>
    <w:rsid w:val="002D65CF"/>
    <w:rsid w:val="003242BD"/>
    <w:rsid w:val="003D10C9"/>
    <w:rsid w:val="005E6FA7"/>
    <w:rsid w:val="00AA4C06"/>
    <w:rsid w:val="00AC66FC"/>
    <w:rsid w:val="00BA3FCF"/>
    <w:rsid w:val="00D80E24"/>
    <w:rsid w:val="00DC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A148"/>
  <w15:chartTrackingRefBased/>
  <w15:docId w15:val="{ABDD89EF-73E1-4BEB-9E41-551E97E0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80E2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31C"/>
    <w:rPr>
      <w:noProof/>
      <w:sz w:val="20"/>
      <w:szCs w:val="20"/>
      <w:lang w:val="es-CR"/>
    </w:rPr>
  </w:style>
  <w:style w:type="character" w:styleId="FootnoteReference">
    <w:name w:val="footnote reference"/>
    <w:basedOn w:val="DefaultParagraphFont"/>
    <w:uiPriority w:val="99"/>
    <w:semiHidden/>
    <w:unhideWhenUsed/>
    <w:rsid w:val="00DC531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A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CF"/>
    <w:rPr>
      <w:noProof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A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CF"/>
    <w:rPr>
      <w:noProof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49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35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106899046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60F8E30-3C5E-4AA2-A155-071E662A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2021-06-22T17:59:00Z</dcterms:created>
  <dcterms:modified xsi:type="dcterms:W3CDTF">2021-06-22T18:04:00Z</dcterms:modified>
</cp:coreProperties>
</file>