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6D169" w14:textId="77777777" w:rsidR="00D810F9" w:rsidRDefault="00000000">
      <w:pPr>
        <w:jc w:val="center"/>
        <w:rPr>
          <w:rStyle w:val="a4"/>
          <w:rFonts w:ascii="黑体" w:eastAsia="黑体" w:hAnsi="黑体" w:cs="黑体"/>
          <w:b w:val="0"/>
          <w:color w:val="0F1115"/>
          <w:sz w:val="32"/>
          <w:szCs w:val="32"/>
          <w:shd w:val="clear" w:color="auto" w:fill="FFFFFF"/>
        </w:rPr>
      </w:pPr>
      <w:r>
        <w:rPr>
          <w:rStyle w:val="a4"/>
          <w:rFonts w:ascii="黑体" w:eastAsia="黑体" w:hAnsi="黑体" w:cs="黑体" w:hint="eastAsia"/>
          <w:b w:val="0"/>
          <w:color w:val="0F1115"/>
          <w:sz w:val="32"/>
          <w:szCs w:val="32"/>
          <w:shd w:val="clear" w:color="auto" w:fill="FFFFFF"/>
        </w:rPr>
        <w:t>大语言模型发布事件对相关公司股价的影响——基于事件研究法与情感分析的实证研究</w:t>
      </w:r>
    </w:p>
    <w:p w14:paraId="6F16556F"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一、 引言</w:t>
      </w:r>
    </w:p>
    <w:p w14:paraId="53E67246"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（一）研究背景</w:t>
      </w:r>
    </w:p>
    <w:p w14:paraId="7DBBB507"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以ChatGPT为代表的生成式人工智能技术浪潮，正以前所未有的速度重塑全球科技与产业格局。大语言模型作为其核心基础设施，已成为科技巨头战略竞争与资本开支的焦点。每一次重大的LLM发布不仅是技术里程碑，更是向市场传递关于公司技术实力、未来盈利潜力与战略方向的关键信号。</w:t>
      </w:r>
    </w:p>
    <w:p w14:paraId="760BE4BE"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（二）研究问题</w:t>
      </w:r>
    </w:p>
    <w:p w14:paraId="64935D2C" w14:textId="77777777" w:rsidR="00D810F9" w:rsidRDefault="00000000">
      <w:pPr>
        <w:pStyle w:val="a3"/>
        <w:widowControl/>
        <w:shd w:val="clear" w:color="auto" w:fill="FFFFFF"/>
        <w:spacing w:before="192" w:after="192"/>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生成式人工智能的浪潮使得大语言模型发布成为资本市场关注的焦点。然而，市场对这类技术事件的反应并非同质化。本研究旨在系统性地回答以下问题：</w:t>
      </w:r>
    </w:p>
    <w:p w14:paraId="76E53383" w14:textId="77777777" w:rsidR="00D810F9" w:rsidRDefault="00000000">
      <w:pPr>
        <w:pStyle w:val="a3"/>
        <w:widowControl/>
        <w:numPr>
          <w:ilvl w:val="0"/>
          <w:numId w:val="1"/>
        </w:numPr>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市场反应的存在性与度量：</w:t>
      </w:r>
    </w:p>
    <w:p w14:paraId="1204B554"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重大LLM发布事件是否导致相关公司（发布方、产业链上下游、竞争对手）产生显著的累计异常收益率？</w:t>
      </w:r>
    </w:p>
    <w:p w14:paraId="0F480A54" w14:textId="77777777" w:rsidR="00D810F9" w:rsidRDefault="00000000">
      <w:pPr>
        <w:pStyle w:val="a3"/>
        <w:widowControl/>
        <w:numPr>
          <w:ilvl w:val="0"/>
          <w:numId w:val="1"/>
        </w:numPr>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市场反应的异质性来源：</w:t>
      </w:r>
    </w:p>
    <w:p w14:paraId="58C85926"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w:t>
      </w:r>
      <w:r>
        <w:rPr>
          <w:rStyle w:val="a4"/>
          <w:rFonts w:ascii="宋体" w:eastAsia="宋体" w:hAnsi="宋体" w:cs="宋体"/>
          <w:b w:val="0"/>
          <w:color w:val="0F1115"/>
          <w:sz w:val="28"/>
          <w:szCs w:val="28"/>
          <w:shd w:val="clear" w:color="auto" w:fill="FFFFFF"/>
        </w:rPr>
        <w:t>何时反应更强？哪些事件特征（如模型能力、开源与否、多模态能力）会增强或削弱市场反应？</w:t>
      </w:r>
      <w:r>
        <w:rPr>
          <w:rStyle w:val="a4"/>
          <w:rFonts w:ascii="宋体" w:eastAsia="宋体" w:hAnsi="宋体" w:cs="宋体"/>
          <w:b w:val="0"/>
          <w:color w:val="0F1115"/>
          <w:sz w:val="28"/>
          <w:szCs w:val="28"/>
          <w:shd w:val="clear" w:color="auto" w:fill="FFFFFF"/>
        </w:rPr>
        <w:br/>
      </w:r>
      <w:r>
        <w:rPr>
          <w:rStyle w:val="a4"/>
          <w:rFonts w:ascii="宋体" w:eastAsia="宋体" w:hAnsi="宋体" w:cs="宋体" w:hint="eastAsia"/>
          <w:b w:val="0"/>
          <w:color w:val="0F1115"/>
          <w:sz w:val="28"/>
          <w:szCs w:val="28"/>
          <w:shd w:val="clear" w:color="auto" w:fill="FFFFFF"/>
        </w:rPr>
        <w:t xml:space="preserve">   （2）</w:t>
      </w:r>
      <w:r>
        <w:rPr>
          <w:rStyle w:val="a4"/>
          <w:rFonts w:ascii="宋体" w:eastAsia="宋体" w:hAnsi="宋体" w:cs="宋体"/>
          <w:b w:val="0"/>
          <w:color w:val="0F1115"/>
          <w:sz w:val="28"/>
          <w:szCs w:val="28"/>
          <w:shd w:val="clear" w:color="auto" w:fill="FFFFFF"/>
        </w:rPr>
        <w:t>何时反应为正/为负？哪些企业特征（如规模、成长性、与发布者的关系）导致不同公司在同一事件中表现出截然不同的股价走</w:t>
      </w:r>
      <w:r>
        <w:rPr>
          <w:rStyle w:val="a4"/>
          <w:rFonts w:ascii="宋体" w:eastAsia="宋体" w:hAnsi="宋体" w:cs="宋体"/>
          <w:b w:val="0"/>
          <w:color w:val="0F1115"/>
          <w:sz w:val="28"/>
          <w:szCs w:val="28"/>
          <w:shd w:val="clear" w:color="auto" w:fill="FFFFFF"/>
        </w:rPr>
        <w:lastRenderedPageBreak/>
        <w:t>势？</w:t>
      </w:r>
      <w:r>
        <w:rPr>
          <w:rStyle w:val="a4"/>
          <w:rFonts w:ascii="宋体" w:eastAsia="宋体" w:hAnsi="宋体" w:cs="宋体"/>
          <w:b w:val="0"/>
          <w:color w:val="0F1115"/>
          <w:sz w:val="28"/>
          <w:szCs w:val="28"/>
          <w:shd w:val="clear" w:color="auto" w:fill="FFFFFF"/>
        </w:rPr>
        <w:br/>
      </w:r>
      <w:r>
        <w:rPr>
          <w:rStyle w:val="a4"/>
          <w:rFonts w:ascii="宋体" w:eastAsia="宋体" w:hAnsi="宋体" w:cs="宋体" w:hint="eastAsia"/>
          <w:b w:val="0"/>
          <w:color w:val="0F1115"/>
          <w:sz w:val="28"/>
          <w:szCs w:val="28"/>
          <w:shd w:val="clear" w:color="auto" w:fill="FFFFFF"/>
        </w:rPr>
        <w:t xml:space="preserve">   （3）</w:t>
      </w:r>
      <w:r>
        <w:rPr>
          <w:rStyle w:val="a4"/>
          <w:rFonts w:ascii="宋体" w:eastAsia="宋体" w:hAnsi="宋体" w:cs="宋体"/>
          <w:b w:val="0"/>
          <w:color w:val="0F1115"/>
          <w:sz w:val="28"/>
          <w:szCs w:val="28"/>
          <w:shd w:val="clear" w:color="auto" w:fill="FFFFFF"/>
        </w:rPr>
        <w:t>信息渠道的作用：媒体在事件窗口期的报道情感（均值与分歧度）如何影响市场反应的强度与方向？</w:t>
      </w:r>
    </w:p>
    <w:p w14:paraId="72C0ED53" w14:textId="77777777" w:rsidR="00D810F9" w:rsidRDefault="00000000">
      <w:pPr>
        <w:pStyle w:val="a3"/>
        <w:widowControl/>
        <w:shd w:val="clear" w:color="auto" w:fill="FFFFFF"/>
        <w:spacing w:before="192" w:after="192"/>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简言之，本研究不仅检验“是否产生影响”，更旨在解释“影响的强度由什么决定”以及“影响的方向由什么决定”。</w:t>
      </w:r>
    </w:p>
    <w:p w14:paraId="3FF5E3B5"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二、 研究目标与意义</w:t>
      </w:r>
    </w:p>
    <w:p w14:paraId="248F8A4C" w14:textId="77777777" w:rsidR="00D810F9" w:rsidRDefault="00000000">
      <w:pPr>
        <w:jc w:val="left"/>
        <w:rPr>
          <w:b/>
          <w:bCs/>
        </w:rPr>
      </w:pPr>
      <w:r>
        <w:rPr>
          <w:rStyle w:val="a4"/>
          <w:rFonts w:ascii="宋体" w:eastAsia="宋体" w:hAnsi="宋体" w:cs="宋体" w:hint="eastAsia"/>
          <w:bCs/>
          <w:color w:val="0F1115"/>
          <w:sz w:val="28"/>
          <w:szCs w:val="28"/>
          <w:shd w:val="clear" w:color="auto" w:fill="FFFFFF"/>
        </w:rPr>
        <w:t>（一）研究目标</w:t>
      </w:r>
    </w:p>
    <w:p w14:paraId="1C6C02FD" w14:textId="77777777" w:rsidR="00D810F9" w:rsidRDefault="00000000">
      <w:pPr>
        <w:pStyle w:val="a3"/>
        <w:widowControl/>
        <w:shd w:val="clear" w:color="auto" w:fill="FFFFFF"/>
        <w:spacing w:before="192" w:after="192"/>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w:t>
      </w:r>
      <w:r>
        <w:rPr>
          <w:rStyle w:val="a4"/>
          <w:rFonts w:ascii="宋体" w:eastAsia="宋体" w:hAnsi="宋体" w:cs="宋体"/>
          <w:b w:val="0"/>
          <w:color w:val="0F1115"/>
          <w:sz w:val="28"/>
          <w:szCs w:val="28"/>
          <w:shd w:val="clear" w:color="auto" w:fill="FFFFFF"/>
        </w:rPr>
        <w:t>核心目标：量化评估重大LLM发布事件对相关上市公司股价的短期影响。</w:t>
      </w:r>
    </w:p>
    <w:p w14:paraId="3F81CA9E" w14:textId="77777777" w:rsidR="00D810F9" w:rsidRDefault="00000000">
      <w:pPr>
        <w:pStyle w:val="a3"/>
        <w:widowControl/>
        <w:shd w:val="clear" w:color="auto" w:fill="FFFFFF"/>
        <w:spacing w:before="192" w:after="192"/>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w:t>
      </w:r>
      <w:r>
        <w:rPr>
          <w:rStyle w:val="a4"/>
          <w:rFonts w:ascii="宋体" w:eastAsia="宋体" w:hAnsi="宋体" w:cs="宋体"/>
          <w:b w:val="0"/>
          <w:color w:val="0F1115"/>
          <w:sz w:val="28"/>
          <w:szCs w:val="28"/>
          <w:shd w:val="clear" w:color="auto" w:fill="FFFFFF"/>
        </w:rPr>
        <w:t>关键目标：构建包含企业特征与事件特征的面板数据集，通过回归模型识别影响累计异常收益率（CAR）的关键因素，特别是区分“赢家”与“输家”的机制。</w:t>
      </w:r>
    </w:p>
    <w:p w14:paraId="04EEBC1F"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（二）研究意义</w:t>
      </w:r>
    </w:p>
    <w:p w14:paraId="7B97A415" w14:textId="77777777" w:rsidR="00D810F9" w:rsidRDefault="00000000">
      <w:pPr>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1.理论意义：丰富和拓展有效市场假说与行为金融学在“技术冲击”事件领域的应用；融合金融计量与计算语言学方法，为“新闻与资产定价”领域提供新的研究视角。</w:t>
      </w:r>
    </w:p>
    <w:p w14:paraId="182D98A3" w14:textId="77777777" w:rsidR="00D810F9" w:rsidRDefault="00000000">
      <w:pPr>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2.实践意义：为投资者提供关于科技事件驱动的交易策略或风险对冲的参考；为公司管理层理解资本市场对技术创新的反馈提供依据。</w:t>
      </w:r>
    </w:p>
    <w:p w14:paraId="190ACF34" w14:textId="77777777" w:rsidR="00D810F9" w:rsidRDefault="00000000">
      <w:pPr>
        <w:jc w:val="left"/>
      </w:pPr>
      <w:r>
        <w:rPr>
          <w:rStyle w:val="a4"/>
          <w:rFonts w:ascii="宋体" w:eastAsia="宋体" w:hAnsi="宋体" w:cs="宋体" w:hint="eastAsia"/>
          <w:bCs/>
          <w:color w:val="0F1115"/>
          <w:sz w:val="28"/>
          <w:szCs w:val="28"/>
          <w:shd w:val="clear" w:color="auto" w:fill="FFFFFF"/>
        </w:rPr>
        <w:t>三、 文献综述</w:t>
      </w:r>
    </w:p>
    <w:p w14:paraId="03CCA2C4"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（一）事件研究法在科技企业新产品发布中的应用</w:t>
      </w:r>
    </w:p>
    <w:p w14:paraId="6D9EF803"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lastRenderedPageBreak/>
        <w:t>回顾现有文献如何利用事件研究法分析新产品、新技术的发布对股价的短期冲击，总结其研究设计与主要发现。</w:t>
      </w:r>
    </w:p>
    <w:p w14:paraId="7E4EB43E" w14:textId="77777777" w:rsidR="00D810F9" w:rsidRDefault="00000000">
      <w:pPr>
        <w:jc w:val="left"/>
        <w:rPr>
          <w:rStyle w:val="a4"/>
          <w:rFonts w:ascii="宋体" w:eastAsia="宋体" w:hAnsi="宋体" w:cs="宋体"/>
          <w:bCs/>
          <w:color w:val="0F1115"/>
          <w:sz w:val="28"/>
          <w:szCs w:val="28"/>
          <w:shd w:val="clear" w:color="auto" w:fill="FFFFFF"/>
        </w:rPr>
      </w:pPr>
      <w:r>
        <w:rPr>
          <w:rFonts w:ascii="宋体" w:eastAsia="宋体" w:hAnsi="宋体" w:cs="宋体" w:hint="eastAsia"/>
          <w:b/>
          <w:bCs/>
          <w:color w:val="0F1115"/>
          <w:sz w:val="28"/>
          <w:szCs w:val="28"/>
          <w:shd w:val="clear" w:color="auto" w:fill="FFFFFF"/>
        </w:rPr>
        <w:t>（二）</w:t>
      </w:r>
      <w:r>
        <w:rPr>
          <w:rStyle w:val="a4"/>
          <w:rFonts w:ascii="宋体" w:eastAsia="宋体" w:hAnsi="宋体" w:cs="宋体"/>
          <w:bCs/>
          <w:color w:val="0F1115"/>
          <w:sz w:val="28"/>
          <w:szCs w:val="28"/>
          <w:shd w:val="clear" w:color="auto" w:fill="FFFFFF"/>
        </w:rPr>
        <w:t>情感分析在金融学中的应用</w:t>
      </w:r>
    </w:p>
    <w:p w14:paraId="07C25CE5"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梳理从词典法到深度学习的情感分析方法演进，重点关注意见情感如何被用于解释资产价格波动与交易量变化。</w:t>
      </w:r>
    </w:p>
    <w:p w14:paraId="103389A6"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四、 研究方法论</w:t>
      </w:r>
    </w:p>
    <w:p w14:paraId="52650B39"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（一）事件选择与样本构建</w:t>
      </w:r>
    </w:p>
    <w:p w14:paraId="37E10511" w14:textId="77777777" w:rsidR="00D810F9" w:rsidRDefault="00000000">
      <w:pPr>
        <w:pStyle w:val="a3"/>
        <w:widowControl/>
        <w:rPr>
          <w:rStyle w:val="a4"/>
          <w:rFonts w:ascii="宋体" w:eastAsia="宋体" w:hAnsi="宋体" w:cs="宋体"/>
          <w:b w:val="0"/>
          <w:color w:val="0F1115"/>
          <w:sz w:val="21"/>
          <w:szCs w:val="21"/>
          <w:shd w:val="clear" w:color="auto" w:fill="FFFFFF"/>
        </w:rPr>
      </w:pPr>
      <w:r>
        <w:rPr>
          <w:rStyle w:val="a4"/>
          <w:rFonts w:ascii="宋体" w:eastAsia="宋体" w:hAnsi="宋体" w:cs="宋体" w:hint="eastAsia"/>
          <w:b w:val="0"/>
          <w:color w:val="0F1115"/>
          <w:sz w:val="28"/>
          <w:szCs w:val="28"/>
          <w:shd w:val="clear" w:color="auto" w:fill="FFFFFF"/>
        </w:rPr>
        <w:t>1.</w:t>
      </w:r>
      <w:r>
        <w:rPr>
          <w:rStyle w:val="a4"/>
          <w:rFonts w:ascii="宋体" w:eastAsia="宋体" w:hAnsi="宋体" w:cs="宋体"/>
          <w:b w:val="0"/>
          <w:color w:val="0F1115"/>
          <w:sz w:val="28"/>
          <w:szCs w:val="28"/>
          <w:shd w:val="clear" w:color="auto" w:fill="FFFFFF"/>
        </w:rPr>
        <w:t>为确保样本的纯净性与研究目标的契合度，本研究在经典事件研究法关于样本构建的方法论原则基础上 ，结合大语言模型领域技术发布的特点，</w:t>
      </w:r>
      <w:commentRangeStart w:id="0"/>
      <w:r w:rsidRPr="006F12F0">
        <w:rPr>
          <w:rStyle w:val="a4"/>
          <w:rFonts w:ascii="宋体" w:eastAsia="宋体" w:hAnsi="宋体" w:cs="宋体"/>
          <w:b w:val="0"/>
          <w:color w:val="EE0000"/>
          <w:sz w:val="28"/>
          <w:szCs w:val="28"/>
          <w:shd w:val="clear" w:color="auto" w:fill="FFFFFF"/>
        </w:rPr>
        <w:t>设计了以下S.A.F.E.筛选框架</w:t>
      </w:r>
      <w:commentRangeEnd w:id="0"/>
      <w:r w:rsidR="00290A5E">
        <w:rPr>
          <w:rStyle w:val="a6"/>
          <w:rFonts w:ascii="宋体" w:eastAsia="宋体" w:hAnsi="宋体" w:cs="宋体"/>
          <w:color w:val="0F1115"/>
          <w:sz w:val="28"/>
          <w:szCs w:val="28"/>
          <w:shd w:val="clear" w:color="auto" w:fill="FFFFFF"/>
        </w:rPr>
        <w:commentReference w:id="0"/>
      </w:r>
      <w:r>
        <w:rPr>
          <w:rStyle w:val="a4"/>
          <w:rFonts w:ascii="宋体" w:eastAsia="宋体" w:hAnsi="宋体" w:cs="宋体"/>
          <w:b w:val="0"/>
          <w:color w:val="0F1115"/>
          <w:sz w:val="28"/>
          <w:szCs w:val="28"/>
          <w:shd w:val="clear" w:color="auto" w:fill="FFFFFF"/>
        </w:rPr>
        <w:t>。该框架中的“混淆事件排除”原则直接对应事件研究法中关键的“混淆事件搜索（Confounding Event Search）”步骤 ，其余准则则是对“事件需具有足够影响力”和“信息需到达市场”等通用原则的操作化定义。</w:t>
      </w:r>
      <w:r>
        <w:rPr>
          <w:rStyle w:val="a4"/>
          <w:rFonts w:ascii="宋体" w:eastAsia="宋体" w:hAnsi="宋体" w:cs="宋体" w:hint="eastAsia"/>
          <w:b w:val="0"/>
          <w:color w:val="0F1115"/>
          <w:sz w:val="21"/>
          <w:szCs w:val="21"/>
          <w:shd w:val="clear" w:color="auto" w:fill="FFFFFF"/>
        </w:rPr>
        <w:t>（</w:t>
      </w:r>
      <w:r>
        <w:rPr>
          <w:rStyle w:val="a4"/>
          <w:rFonts w:ascii="宋体" w:eastAsia="宋体" w:hAnsi="宋体" w:cs="宋体"/>
          <w:b w:val="0"/>
          <w:color w:val="0F1115"/>
          <w:sz w:val="21"/>
          <w:szCs w:val="21"/>
          <w:shd w:val="clear" w:color="auto" w:fill="FFFFFF"/>
        </w:rPr>
        <w:t>Wood, L.C. (2022). Developing a sample: Strategies and considerations. In Applied Guide for Event Study Research in Supply Chain Management, IGI Global.</w:t>
      </w:r>
      <w:r>
        <w:rPr>
          <w:rStyle w:val="a4"/>
          <w:rFonts w:ascii="宋体" w:eastAsia="宋体" w:hAnsi="宋体" w:cs="宋体" w:hint="eastAsia"/>
          <w:b w:val="0"/>
          <w:color w:val="0F1115"/>
          <w:sz w:val="21"/>
          <w:szCs w:val="21"/>
          <w:shd w:val="clear" w:color="auto" w:fill="FFFFFF"/>
        </w:rPr>
        <w:t>）</w:t>
      </w:r>
    </w:p>
    <w:p w14:paraId="37218347"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w:t>
      </w:r>
      <w:r>
        <w:rPr>
          <w:rStyle w:val="a4"/>
          <w:rFonts w:ascii="宋体" w:eastAsia="宋体" w:hAnsi="宋体" w:cs="宋体"/>
          <w:b w:val="0"/>
          <w:color w:val="0F1115"/>
          <w:sz w:val="28"/>
          <w:szCs w:val="28"/>
          <w:shd w:val="clear" w:color="auto" w:fill="FFFFFF"/>
        </w:rPr>
        <w:t>S - Specific Subject (主体明确)：发布主体须为上市公司或其可明确追溯重大影响的子公司（需追溯融资结构与控制关系）。</w:t>
      </w:r>
    </w:p>
    <w:p w14:paraId="3307DEA4"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w:t>
      </w:r>
      <w:r>
        <w:rPr>
          <w:rStyle w:val="a4"/>
          <w:rFonts w:ascii="宋体" w:eastAsia="宋体" w:hAnsi="宋体" w:cs="宋体"/>
          <w:b w:val="0"/>
          <w:color w:val="0F1115"/>
          <w:sz w:val="28"/>
          <w:szCs w:val="28"/>
          <w:shd w:val="clear" w:color="auto" w:fill="FFFFFF"/>
        </w:rPr>
        <w:t>A - Agenda Impact (影响重大)：满足以下至少两项：</w:t>
      </w:r>
      <w:r>
        <w:rPr>
          <w:rStyle w:val="a4"/>
          <w:rFonts w:ascii="宋体" w:eastAsia="宋体" w:hAnsi="宋体" w:cs="宋体" w:hint="eastAsia"/>
          <w:b w:val="0"/>
          <w:color w:val="0F1115"/>
          <w:sz w:val="28"/>
          <w:szCs w:val="28"/>
          <w:shd w:val="clear" w:color="auto" w:fill="FFFFFF"/>
        </w:rPr>
        <w:t>a.</w:t>
      </w:r>
      <w:r>
        <w:rPr>
          <w:rStyle w:val="a4"/>
          <w:rFonts w:ascii="宋体" w:eastAsia="宋体" w:hAnsi="宋体" w:cs="宋体"/>
          <w:b w:val="0"/>
          <w:color w:val="0F1115"/>
          <w:sz w:val="28"/>
          <w:szCs w:val="28"/>
          <w:shd w:val="clear" w:color="auto" w:fill="FFFFFF"/>
        </w:rPr>
        <w:t>技术突破：</w:t>
      </w:r>
      <w:commentRangeStart w:id="1"/>
      <w:r w:rsidRPr="00786596">
        <w:rPr>
          <w:rStyle w:val="a4"/>
          <w:rFonts w:ascii="宋体" w:eastAsia="宋体" w:hAnsi="宋体" w:cs="宋体"/>
          <w:b w:val="0"/>
          <w:color w:val="EE0000"/>
          <w:sz w:val="28"/>
          <w:szCs w:val="28"/>
          <w:shd w:val="clear" w:color="auto" w:fill="FFFFFF"/>
        </w:rPr>
        <w:t>在公认权威评测基准上取得显著性能提升或刷新SOTA</w:t>
      </w:r>
      <w:commentRangeEnd w:id="1"/>
      <w:r w:rsidR="00290A5E">
        <w:rPr>
          <w:rStyle w:val="a6"/>
          <w:rFonts w:ascii="宋体" w:eastAsia="宋体" w:hAnsi="宋体" w:cs="宋体"/>
          <w:color w:val="0F1115"/>
          <w:sz w:val="28"/>
          <w:szCs w:val="28"/>
          <w:shd w:val="clear" w:color="auto" w:fill="FFFFFF"/>
        </w:rPr>
        <w:commentReference w:id="1"/>
      </w:r>
      <w:r>
        <w:rPr>
          <w:rStyle w:val="a4"/>
          <w:rFonts w:ascii="宋体" w:eastAsia="宋体" w:hAnsi="宋体" w:cs="宋体"/>
          <w:b w:val="0"/>
          <w:color w:val="0F1115"/>
          <w:sz w:val="28"/>
          <w:szCs w:val="28"/>
          <w:shd w:val="clear" w:color="auto" w:fill="FFFFFF"/>
        </w:rPr>
        <w:t>；</w:t>
      </w:r>
      <w:r>
        <w:rPr>
          <w:rStyle w:val="a4"/>
          <w:rFonts w:ascii="宋体" w:eastAsia="宋体" w:hAnsi="宋体" w:cs="宋体" w:hint="eastAsia"/>
          <w:b w:val="0"/>
          <w:color w:val="0F1115"/>
          <w:sz w:val="28"/>
          <w:szCs w:val="28"/>
          <w:shd w:val="clear" w:color="auto" w:fill="FFFFFF"/>
        </w:rPr>
        <w:t>b.</w:t>
      </w:r>
      <w:r>
        <w:rPr>
          <w:rStyle w:val="a4"/>
          <w:rFonts w:ascii="宋体" w:eastAsia="宋体" w:hAnsi="宋体" w:cs="宋体"/>
          <w:b w:val="0"/>
          <w:color w:val="0F1115"/>
          <w:sz w:val="28"/>
          <w:szCs w:val="28"/>
          <w:shd w:val="clear" w:color="auto" w:fill="FFFFFF"/>
        </w:rPr>
        <w:t>产品形态：以可公开访问的API、重要产品集成或开源重量级模型的形式发布。</w:t>
      </w:r>
    </w:p>
    <w:p w14:paraId="77A0B187"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（3）</w:t>
      </w:r>
      <w:commentRangeStart w:id="2"/>
      <w:r>
        <w:rPr>
          <w:rStyle w:val="a4"/>
          <w:rFonts w:ascii="宋体" w:eastAsia="宋体" w:hAnsi="宋体" w:cs="宋体"/>
          <w:b w:val="0"/>
          <w:color w:val="0F1115"/>
          <w:sz w:val="28"/>
          <w:szCs w:val="28"/>
          <w:shd w:val="clear" w:color="auto" w:fill="FFFFFF"/>
        </w:rPr>
        <w:t>F - Focused Attention (市场关注)：事件前后，在Google Trends或主流财经社交媒体上的讨论热度出现异常峰值。</w:t>
      </w:r>
      <w:commentRangeEnd w:id="2"/>
      <w:r w:rsidR="00290A5E">
        <w:rPr>
          <w:rStyle w:val="a6"/>
          <w:rFonts w:ascii="宋体" w:eastAsia="宋体" w:hAnsi="宋体" w:cs="宋体"/>
          <w:color w:val="0F1115"/>
          <w:sz w:val="28"/>
          <w:szCs w:val="28"/>
          <w:shd w:val="clear" w:color="auto" w:fill="FFFFFF"/>
        </w:rPr>
        <w:commentReference w:id="2"/>
      </w:r>
    </w:p>
    <w:p w14:paraId="19F08A60"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lastRenderedPageBreak/>
        <w:t>（4）</w:t>
      </w:r>
      <w:r>
        <w:rPr>
          <w:rStyle w:val="a4"/>
          <w:rFonts w:ascii="宋体" w:eastAsia="宋体" w:hAnsi="宋体" w:cs="宋体"/>
          <w:b w:val="0"/>
          <w:color w:val="0F1115"/>
          <w:sz w:val="28"/>
          <w:szCs w:val="28"/>
          <w:shd w:val="clear" w:color="auto" w:fill="FFFFFF"/>
        </w:rPr>
        <w:t>E - Event Purity (焦点纯粹)：</w:t>
      </w:r>
      <w:r w:rsidRPr="00786596">
        <w:rPr>
          <w:rStyle w:val="a4"/>
          <w:rFonts w:ascii="宋体" w:eastAsia="宋体" w:hAnsi="宋体" w:cs="宋体"/>
          <w:b w:val="0"/>
          <w:color w:val="EE0000"/>
          <w:sz w:val="28"/>
          <w:szCs w:val="28"/>
          <w:shd w:val="clear" w:color="auto" w:fill="FFFFFF"/>
        </w:rPr>
        <w:t>事件窗口期内，样本公司无其他可能主导股价变动的重大事件</w:t>
      </w:r>
      <w:r>
        <w:rPr>
          <w:rStyle w:val="a4"/>
          <w:rFonts w:ascii="宋体" w:eastAsia="宋体" w:hAnsi="宋体" w:cs="宋体"/>
          <w:b w:val="0"/>
          <w:color w:val="0F1115"/>
          <w:sz w:val="28"/>
          <w:szCs w:val="28"/>
          <w:shd w:val="clear" w:color="auto" w:fill="FFFFFF"/>
        </w:rPr>
        <w:t>（如财报发布、重大并购、管理层变动等）。</w:t>
      </w:r>
    </w:p>
    <w:p w14:paraId="3DF56A63" w14:textId="77777777" w:rsidR="00D810F9" w:rsidRDefault="00000000">
      <w:pPr>
        <w:pStyle w:val="a3"/>
        <w:widowControl/>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w:t>
      </w:r>
      <w:r>
        <w:rPr>
          <w:rStyle w:val="a4"/>
          <w:rFonts w:ascii="宋体" w:eastAsia="宋体" w:hAnsi="宋体" w:cs="宋体"/>
          <w:b w:val="0"/>
          <w:color w:val="0F1115"/>
          <w:sz w:val="28"/>
          <w:szCs w:val="28"/>
          <w:shd w:val="clear" w:color="auto" w:fill="FFFFFF"/>
        </w:rPr>
        <w:t>排除标准：</w:t>
      </w:r>
      <w:commentRangeStart w:id="3"/>
      <w:r>
        <w:rPr>
          <w:rStyle w:val="a4"/>
          <w:rFonts w:ascii="宋体" w:eastAsia="宋体" w:hAnsi="宋体" w:cs="宋体"/>
          <w:b w:val="0"/>
          <w:color w:val="0F1115"/>
          <w:sz w:val="28"/>
          <w:szCs w:val="28"/>
          <w:shd w:val="clear" w:color="auto" w:fill="FFFFFF"/>
        </w:rPr>
        <w:t>对不符合上述标准或数据严重缺失的事件予以剔除</w:t>
      </w:r>
      <w:commentRangeEnd w:id="3"/>
      <w:r w:rsidR="00290A5E">
        <w:rPr>
          <w:rStyle w:val="a6"/>
          <w:rFonts w:ascii="宋体" w:eastAsia="宋体" w:hAnsi="宋体" w:cs="宋体"/>
          <w:color w:val="0F1115"/>
          <w:sz w:val="28"/>
          <w:szCs w:val="28"/>
          <w:shd w:val="clear" w:color="auto" w:fill="FFFFFF"/>
        </w:rPr>
        <w:commentReference w:id="3"/>
      </w:r>
      <w:r>
        <w:rPr>
          <w:rStyle w:val="a4"/>
          <w:rFonts w:ascii="宋体" w:eastAsia="宋体" w:hAnsi="宋体" w:cs="宋体"/>
          <w:b w:val="0"/>
          <w:color w:val="0F1115"/>
          <w:sz w:val="28"/>
          <w:szCs w:val="28"/>
          <w:shd w:val="clear" w:color="auto" w:fill="FFFFFF"/>
        </w:rPr>
        <w:t>。</w:t>
      </w:r>
    </w:p>
    <w:p w14:paraId="0052E18E"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（二）数据来源</w:t>
      </w:r>
    </w:p>
    <w:p w14:paraId="5F356D8B" w14:textId="77777777" w:rsidR="00D810F9" w:rsidRDefault="00000000">
      <w:pPr>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1.股价与市场数据：来自雅虎财经、CSMAR、Wind数据库，获取日度收益率、交易量等。</w:t>
      </w:r>
    </w:p>
    <w:p w14:paraId="4055B581" w14:textId="77777777" w:rsidR="00D810F9" w:rsidRDefault="00000000">
      <w:pPr>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2.事件数据：</w:t>
      </w:r>
    </w:p>
    <w:p w14:paraId="3F92D84C" w14:textId="77777777" w:rsidR="00D810F9" w:rsidRDefault="00000000">
      <w:pPr>
        <w:spacing w:line="360" w:lineRule="auto"/>
        <w:ind w:firstLineChars="200" w:firstLine="560"/>
        <w:rPr>
          <w:rFonts w:ascii="宋体" w:eastAsia="宋体" w:hAnsi="宋体" w:cs="宋体"/>
          <w:color w:val="0F1115"/>
          <w:szCs w:val="21"/>
          <w:shd w:val="clear" w:color="auto" w:fill="FFFFFF"/>
        </w:rPr>
      </w:pPr>
      <w:r>
        <w:rPr>
          <w:rStyle w:val="a4"/>
          <w:rFonts w:ascii="宋体" w:eastAsia="宋体" w:hAnsi="宋体" w:cs="宋体" w:hint="eastAsia"/>
          <w:b w:val="0"/>
          <w:color w:val="0F1115"/>
          <w:sz w:val="28"/>
          <w:szCs w:val="28"/>
          <w:shd w:val="clear" w:color="auto" w:fill="FFFFFF"/>
        </w:rPr>
        <w:t>（1）手工收集整理并计算2022-2025年发布的所有大模型的Google Trends指数，</w:t>
      </w:r>
      <w:r>
        <w:rPr>
          <w:rStyle w:val="a4"/>
          <w:rFonts w:ascii="宋体" w:eastAsia="宋体" w:hAnsi="宋体" w:cs="宋体"/>
          <w:b w:val="0"/>
          <w:color w:val="0F1115"/>
          <w:sz w:val="28"/>
          <w:szCs w:val="28"/>
          <w:shd w:val="clear" w:color="auto" w:fill="FFFFFF"/>
        </w:rPr>
        <w:t>每个关键词的“100”只代表该词自身历史峰值，无法跨关键词比较绝对热度。为实现在同一基准下比较不同大模型的公众关注度，我们将每个模型的Google Trends指数相对于</w:t>
      </w:r>
      <w:r>
        <w:rPr>
          <w:rStyle w:val="a4"/>
          <w:rFonts w:ascii="宋体" w:eastAsia="宋体" w:hAnsi="宋体" w:cs="宋体" w:hint="eastAsia"/>
          <w:b w:val="0"/>
          <w:color w:val="0F1115"/>
          <w:sz w:val="28"/>
          <w:szCs w:val="28"/>
          <w:shd w:val="clear" w:color="auto" w:fill="FFFFFF"/>
        </w:rPr>
        <w:t>“Deepseek R1”</w:t>
      </w:r>
      <w:r>
        <w:rPr>
          <w:rStyle w:val="a4"/>
          <w:rFonts w:ascii="宋体" w:eastAsia="宋体" w:hAnsi="宋体" w:cs="宋体"/>
          <w:b w:val="0"/>
          <w:color w:val="0F1115"/>
          <w:sz w:val="28"/>
          <w:szCs w:val="28"/>
          <w:shd w:val="clear" w:color="auto" w:fill="FFFFFF"/>
        </w:rPr>
        <w:t>基准关键词进行标准化。具体地，我们计算各模型指数与基准指数之比，乘以100得到相对关注度指数。该指数表示：数值为100表示与</w:t>
      </w:r>
      <w:r>
        <w:rPr>
          <w:rStyle w:val="a4"/>
          <w:rFonts w:ascii="宋体" w:eastAsia="宋体" w:hAnsi="宋体" w:cs="宋体" w:hint="eastAsia"/>
          <w:b w:val="0"/>
          <w:color w:val="0F1115"/>
          <w:sz w:val="28"/>
          <w:szCs w:val="28"/>
          <w:shd w:val="clear" w:color="auto" w:fill="FFFFFF"/>
        </w:rPr>
        <w:t>“Deepseek R1”</w:t>
      </w:r>
      <w:r>
        <w:rPr>
          <w:rStyle w:val="a4"/>
          <w:rFonts w:ascii="宋体" w:eastAsia="宋体" w:hAnsi="宋体" w:cs="宋体"/>
          <w:b w:val="0"/>
          <w:color w:val="0F1115"/>
          <w:sz w:val="28"/>
          <w:szCs w:val="28"/>
          <w:shd w:val="clear" w:color="auto" w:fill="FFFFFF"/>
        </w:rPr>
        <w:t>整体关注度持平；高于100表示相对更受关注；低于100表示相对关注不足。这一处理确保了所有模型的热度数据处于同一可比尺度</w:t>
      </w:r>
      <w:r>
        <w:rPr>
          <w:rStyle w:val="a4"/>
          <w:rFonts w:ascii="宋体" w:eastAsia="宋体" w:hAnsi="宋体" w:cs="宋体" w:hint="eastAsia"/>
          <w:b w:val="0"/>
          <w:color w:val="0F1115"/>
          <w:sz w:val="28"/>
          <w:szCs w:val="28"/>
          <w:shd w:val="clear" w:color="auto" w:fill="FFFFFF"/>
        </w:rPr>
        <w:t>。</w:t>
      </w:r>
    </w:p>
    <w:p w14:paraId="74D357B2" w14:textId="77777777" w:rsidR="00D810F9" w:rsidRPr="00786596" w:rsidRDefault="00000000">
      <w:pPr>
        <w:ind w:firstLineChars="200" w:firstLine="560"/>
        <w:jc w:val="left"/>
        <w:rPr>
          <w:rStyle w:val="a4"/>
          <w:rFonts w:ascii="宋体" w:eastAsia="宋体" w:hAnsi="宋体" w:cs="宋体"/>
          <w:b w:val="0"/>
          <w:color w:val="EE0000"/>
          <w:sz w:val="28"/>
          <w:szCs w:val="28"/>
          <w:shd w:val="clear" w:color="auto" w:fill="FFFFFF"/>
        </w:rPr>
      </w:pPr>
      <w:r w:rsidRPr="00786596">
        <w:rPr>
          <w:rStyle w:val="a4"/>
          <w:rFonts w:ascii="宋体" w:eastAsia="宋体" w:hAnsi="宋体" w:cs="宋体" w:hint="eastAsia"/>
          <w:b w:val="0"/>
          <w:color w:val="EE0000"/>
          <w:sz w:val="28"/>
          <w:szCs w:val="28"/>
          <w:shd w:val="clear" w:color="auto" w:fill="FFFFFF"/>
        </w:rPr>
        <w:t>对统计的所有大模型计算完成后，选取Google Trends指数大于6的45个模型事件。</w:t>
      </w:r>
    </w:p>
    <w:p w14:paraId="7456D3E7"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（2）size：事件发生前一个年度财报中总资产取自然对数,因为公司多国混合，获取所有公司的总资产按当时的汇率统一折算为单位亿美元(USD)，然后再取对数。</w:t>
      </w:r>
    </w:p>
    <w:p w14:paraId="5713FD93" w14:textId="77777777" w:rsidR="00D810F9" w:rsidRDefault="00000000">
      <w:pPr>
        <w:widowControl/>
        <w:spacing w:beforeAutospacing="1" w:afterAutospacing="1"/>
        <w:ind w:left="-360"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lastRenderedPageBreak/>
        <w:t>（3）股东权益(账面价值)：</w:t>
      </w:r>
    </w:p>
    <w:p w14:paraId="5097E98C" w14:textId="77777777" w:rsidR="00D810F9" w:rsidRDefault="00000000">
      <w:pPr>
        <w:widowControl/>
        <w:spacing w:beforeAutospacing="1" w:afterAutospacing="1"/>
        <w:ind w:left="-360"/>
        <w:rPr>
          <w:rStyle w:val="a4"/>
          <w:rFonts w:ascii="宋体" w:eastAsia="宋体" w:hAnsi="宋体" w:cs="宋体"/>
          <w:b w:val="0"/>
          <w:color w:val="0F1115"/>
          <w:sz w:val="28"/>
          <w:szCs w:val="28"/>
          <w:shd w:val="clear" w:color="auto" w:fill="FFFFFF"/>
        </w:rPr>
      </w:pPr>
      <m:oMathPara>
        <m:oMath>
          <m:r>
            <w:rPr>
              <w:rFonts w:ascii="Cambria Math" w:eastAsia="宋体" w:hAnsi="Cambria Math" w:cs="宋体" w:hint="eastAsia"/>
              <w:color w:val="0F1115"/>
              <w:sz w:val="28"/>
              <w:szCs w:val="28"/>
              <w:shd w:val="clear" w:color="auto" w:fill="FFFFFF"/>
            </w:rPr>
            <m:t>BM</m:t>
          </m:r>
          <m:r>
            <w:rPr>
              <w:rFonts w:ascii="Cambria Math" w:eastAsia="宋体" w:hAnsi="Cambria Math" w:cs="宋体"/>
              <w:color w:val="0F1115"/>
              <w:sz w:val="28"/>
              <w:szCs w:val="28"/>
              <w:shd w:val="clear" w:color="auto" w:fill="FFFFFF"/>
            </w:rPr>
            <m:t xml:space="preserve"> </m:t>
          </m:r>
          <m:r>
            <w:rPr>
              <w:rFonts w:ascii="Cambria Math" w:eastAsia="宋体" w:hAnsi="Cambria Math" w:cs="宋体" w:hint="eastAsia"/>
              <w:color w:val="0F1115"/>
              <w:sz w:val="28"/>
              <w:szCs w:val="28"/>
              <w:shd w:val="clear" w:color="auto" w:fill="FFFFFF"/>
            </w:rPr>
            <m:t>Ratio</m:t>
          </m:r>
          <m:r>
            <w:rPr>
              <w:rFonts w:ascii="Cambria Math" w:eastAsia="宋体" w:hAnsi="Cambria Math" w:cs="宋体"/>
              <w:color w:val="0F1115"/>
              <w:sz w:val="28"/>
              <w:szCs w:val="28"/>
              <w:shd w:val="clear" w:color="auto" w:fill="FFFFFF"/>
            </w:rPr>
            <m:t>=</m:t>
          </m:r>
          <m:f>
            <m:fPr>
              <m:ctrlPr>
                <w:rPr>
                  <w:rFonts w:ascii="Cambria Math" w:eastAsia="宋体" w:hAnsi="Cambria Math" w:cs="宋体"/>
                  <w:iCs/>
                  <w:color w:val="0F1115"/>
                  <w:sz w:val="28"/>
                  <w:szCs w:val="28"/>
                  <w:shd w:val="clear" w:color="auto" w:fill="FFFFFF"/>
                </w:rPr>
              </m:ctrlPr>
            </m:fPr>
            <m:num>
              <m:r>
                <m:rPr>
                  <m:sty m:val="p"/>
                </m:rPr>
                <w:rPr>
                  <w:rFonts w:ascii="Cambria Math" w:eastAsia="宋体" w:hAnsi="Cambria Math" w:cs="宋体" w:hint="eastAsia"/>
                  <w:color w:val="0F1115"/>
                  <w:sz w:val="28"/>
                  <w:szCs w:val="28"/>
                  <w:shd w:val="clear" w:color="auto" w:fill="FFFFFF"/>
                </w:rPr>
                <m:t>账面价值</m:t>
              </m:r>
            </m:num>
            <m:den>
              <m:r>
                <m:rPr>
                  <m:sty m:val="p"/>
                </m:rPr>
                <w:rPr>
                  <w:rFonts w:ascii="Cambria Math" w:eastAsia="宋体" w:hAnsi="Cambria Math" w:cs="宋体" w:hint="eastAsia"/>
                  <w:color w:val="0F1115"/>
                  <w:sz w:val="28"/>
                  <w:szCs w:val="28"/>
                  <w:shd w:val="clear" w:color="auto" w:fill="FFFFFF"/>
                </w:rPr>
                <m:t>市值</m:t>
              </m:r>
            </m:den>
          </m:f>
        </m:oMath>
      </m:oMathPara>
    </w:p>
    <w:p w14:paraId="78E5C819" w14:textId="77777777" w:rsidR="00D810F9" w:rsidRDefault="00000000">
      <w:pPr>
        <w:ind w:firstLineChars="200" w:firstLine="560"/>
      </w:pPr>
      <w:r>
        <w:rPr>
          <w:rStyle w:val="a4"/>
          <w:rFonts w:ascii="宋体" w:eastAsia="宋体" w:hAnsi="宋体" w:cs="宋体" w:hint="eastAsia"/>
          <w:b w:val="0"/>
          <w:color w:val="0F1115"/>
          <w:sz w:val="28"/>
          <w:szCs w:val="28"/>
          <w:shd w:val="clear" w:color="auto" w:fill="FFFFFF"/>
        </w:rPr>
        <w:t>账面价值</w:t>
      </w:r>
      <w:r>
        <w:rPr>
          <w:rStyle w:val="a4"/>
          <w:rFonts w:ascii="宋体" w:eastAsia="宋体" w:hAnsi="宋体" w:cs="宋体"/>
          <w:b w:val="0"/>
          <w:color w:val="0F1115"/>
          <w:sz w:val="28"/>
          <w:szCs w:val="28"/>
          <w:shd w:val="clear" w:color="auto" w:fill="FFFFFF"/>
        </w:rPr>
        <w:t>= 股东权益（或净资产）</w:t>
      </w:r>
      <w:r>
        <w:rPr>
          <w:rStyle w:val="a4"/>
          <w:rFonts w:ascii="宋体" w:eastAsia="宋体" w:hAnsi="宋体" w:cs="宋体" w:hint="eastAsia"/>
          <w:b w:val="0"/>
          <w:color w:val="0F1115"/>
          <w:sz w:val="28"/>
          <w:szCs w:val="28"/>
          <w:shd w:val="clear" w:color="auto" w:fill="FFFFFF"/>
        </w:rPr>
        <w:t>；市值</w:t>
      </w:r>
      <w:r>
        <w:rPr>
          <w:rStyle w:val="a4"/>
          <w:rFonts w:ascii="宋体" w:eastAsia="宋体" w:hAnsi="宋体" w:cs="宋体"/>
          <w:b w:val="0"/>
          <w:color w:val="0F1115"/>
          <w:sz w:val="28"/>
          <w:szCs w:val="28"/>
          <w:shd w:val="clear" w:color="auto" w:fill="FFFFFF"/>
        </w:rPr>
        <w:t> = 股价×总股本</w:t>
      </w:r>
      <w:r>
        <w:rPr>
          <w:rStyle w:val="a4"/>
          <w:rFonts w:ascii="宋体" w:eastAsia="宋体" w:hAnsi="宋体" w:cs="宋体" w:hint="eastAsia"/>
          <w:b w:val="0"/>
          <w:color w:val="0F1115"/>
          <w:sz w:val="28"/>
          <w:szCs w:val="28"/>
          <w:shd w:val="clear" w:color="auto" w:fill="FFFFFF"/>
        </w:rPr>
        <w:t>；数据源自各财年年报（截至各年12月31日），从“资产负债表”中获取“股东权益合计”，从“行情表”中获取“市值”，原始单位不统一</w:t>
      </w:r>
      <w:hyperlink r:id="rId9" w:tgtFrame="https://chat.deepseek.com/a/chat/s/_blank" w:history="1"/>
      <w:hyperlink r:id="rId10" w:tgtFrame="https://chat.deepseek.com/a/chat/s/_blank" w:history="1"/>
      <w:r>
        <w:rPr>
          <w:rStyle w:val="a4"/>
          <w:rFonts w:ascii="宋体" w:eastAsia="宋体" w:hAnsi="宋体" w:cs="宋体"/>
          <w:b w:val="0"/>
          <w:color w:val="0F1115"/>
          <w:sz w:val="28"/>
          <w:szCs w:val="28"/>
          <w:shd w:val="clear" w:color="auto" w:fill="FFFFFF"/>
        </w:rPr>
        <w:t>。美元折算数据基于各年12月31日附近的汇率估算</w:t>
      </w:r>
      <w:r>
        <w:rPr>
          <w:rStyle w:val="a4"/>
          <w:rFonts w:ascii="宋体" w:eastAsia="宋体" w:hAnsi="宋体" w:cs="宋体" w:hint="eastAsia"/>
          <w:b w:val="0"/>
          <w:color w:val="0F1115"/>
          <w:sz w:val="28"/>
          <w:szCs w:val="28"/>
          <w:shd w:val="clear" w:color="auto" w:fill="FFFFFF"/>
        </w:rPr>
        <w:t>。</w:t>
      </w:r>
    </w:p>
    <w:p w14:paraId="7CD64788"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（4）Momentum :Carhart(1997)在其经典的四因子模型中，将动量效应加入定价模型。他指出，计算动量时应使用过去 12个月的收益，但要剔除最近的一个月，因为短期内存在“收益反转效应(Short-term Reversal)</w:t>
      </w:r>
    </w:p>
    <w:p w14:paraId="71D40DA9" w14:textId="77777777" w:rsidR="00D810F9" w:rsidRDefault="00000000">
      <w:pPr>
        <w:jc w:val="left"/>
        <w:rPr>
          <w:rStyle w:val="a4"/>
          <w:rFonts w:ascii="宋体" w:eastAsia="宋体" w:hAnsi="宋体" w:cs="宋体"/>
          <w:b w:val="0"/>
          <w:color w:val="0F1115"/>
          <w:sz w:val="28"/>
          <w:szCs w:val="28"/>
          <w:shd w:val="clear" w:color="auto" w:fill="FFFFFF"/>
        </w:rPr>
      </w:pPr>
      <m:oMathPara>
        <m:oMath>
          <m:r>
            <m:rPr>
              <m:sty m:val="p"/>
            </m:rPr>
            <w:rPr>
              <w:rStyle w:val="a4"/>
              <w:rFonts w:ascii="Cambria Math" w:eastAsia="宋体" w:hAnsi="Cambria Math" w:cs="宋体" w:hint="eastAsia"/>
              <w:color w:val="0F1115"/>
              <w:sz w:val="28"/>
              <w:szCs w:val="28"/>
              <w:shd w:val="clear" w:color="auto" w:fill="FFFFFF"/>
            </w:rPr>
            <m:t>Momentum</m:t>
          </m:r>
          <m:r>
            <m:rPr>
              <m:sty m:val="p"/>
            </m:rPr>
            <w:rPr>
              <w:rStyle w:val="a4"/>
              <w:rFonts w:ascii="Cambria Math" w:eastAsia="宋体" w:hAnsi="Cambria Math" w:cs="宋体"/>
              <w:color w:val="0F1115"/>
              <w:sz w:val="28"/>
              <w:szCs w:val="28"/>
              <w:shd w:val="clear" w:color="auto" w:fill="FFFFFF"/>
            </w:rPr>
            <m:t>=</m:t>
          </m:r>
          <m:f>
            <m:fPr>
              <m:ctrlPr>
                <w:rPr>
                  <w:rStyle w:val="a4"/>
                  <w:rFonts w:ascii="Cambria Math" w:eastAsia="宋体" w:hAnsi="Cambria Math" w:cs="宋体"/>
                  <w:b w:val="0"/>
                  <w:color w:val="0F1115"/>
                  <w:sz w:val="28"/>
                  <w:szCs w:val="28"/>
                  <w:shd w:val="clear" w:color="auto" w:fill="FFFFFF"/>
                </w:rPr>
              </m:ctrlPr>
            </m:fPr>
            <m:num>
              <m:sSub>
                <m:sSubPr>
                  <m:ctrlPr>
                    <w:rPr>
                      <w:rStyle w:val="a4"/>
                      <w:rFonts w:ascii="Cambria Math" w:eastAsia="宋体" w:hAnsi="Cambria Math" w:cs="宋体" w:hint="eastAsia"/>
                      <w:b w:val="0"/>
                      <w:color w:val="0F1115"/>
                      <w:sz w:val="28"/>
                      <w:szCs w:val="28"/>
                      <w:shd w:val="clear" w:color="auto" w:fill="FFFFFF"/>
                    </w:rPr>
                  </m:ctrlPr>
                </m:sSubPr>
                <m:e>
                  <m:r>
                    <m:rPr>
                      <m:sty m:val="p"/>
                    </m:rPr>
                    <w:rPr>
                      <w:rStyle w:val="a4"/>
                      <w:rFonts w:ascii="Cambria Math" w:eastAsia="宋体" w:hAnsi="Cambria Math" w:cs="宋体"/>
                      <w:color w:val="0F1115"/>
                      <w:sz w:val="28"/>
                      <w:szCs w:val="28"/>
                      <w:shd w:val="clear" w:color="auto" w:fill="FFFFFF"/>
                    </w:rPr>
                    <m:t>P</m:t>
                  </m:r>
                  <m:r>
                    <m:rPr>
                      <m:sty m:val="p"/>
                    </m:rPr>
                    <w:rPr>
                      <w:rStyle w:val="a4"/>
                      <w:rFonts w:ascii="Cambria Math" w:eastAsia="宋体" w:hAnsi="Cambria Math" w:cs="宋体" w:hint="eastAsia"/>
                      <w:color w:val="0F1115"/>
                      <w:sz w:val="28"/>
                      <w:szCs w:val="28"/>
                      <w:shd w:val="clear" w:color="auto" w:fill="FFFFFF"/>
                    </w:rPr>
                    <m:t>rice</m:t>
                  </m:r>
                </m:e>
                <m:sub>
                  <m:r>
                    <m:rPr>
                      <m:sty m:val="p"/>
                    </m:rPr>
                    <w:rPr>
                      <w:rStyle w:val="a4"/>
                      <w:rFonts w:ascii="Cambria Math" w:eastAsia="宋体" w:hAnsi="Cambria Math" w:cs="宋体"/>
                      <w:color w:val="0F1115"/>
                      <w:sz w:val="28"/>
                      <w:szCs w:val="28"/>
                      <w:shd w:val="clear" w:color="auto" w:fill="FFFFFF"/>
                    </w:rPr>
                    <m:t>t-1</m:t>
                  </m:r>
                </m:sub>
              </m:sSub>
            </m:num>
            <m:den>
              <m:sSub>
                <m:sSubPr>
                  <m:ctrlPr>
                    <w:rPr>
                      <w:rStyle w:val="a4"/>
                      <w:rFonts w:ascii="Cambria Math" w:eastAsia="宋体" w:hAnsi="Cambria Math" w:cs="宋体" w:hint="eastAsia"/>
                      <w:b w:val="0"/>
                      <w:color w:val="0F1115"/>
                      <w:sz w:val="28"/>
                      <w:szCs w:val="28"/>
                      <w:shd w:val="clear" w:color="auto" w:fill="FFFFFF"/>
                    </w:rPr>
                  </m:ctrlPr>
                </m:sSubPr>
                <m:e>
                  <m:r>
                    <m:rPr>
                      <m:sty m:val="p"/>
                    </m:rPr>
                    <w:rPr>
                      <w:rStyle w:val="a4"/>
                      <w:rFonts w:ascii="Cambria Math" w:eastAsia="宋体" w:hAnsi="Cambria Math" w:cs="宋体"/>
                      <w:color w:val="0F1115"/>
                      <w:sz w:val="28"/>
                      <w:szCs w:val="28"/>
                      <w:shd w:val="clear" w:color="auto" w:fill="FFFFFF"/>
                    </w:rPr>
                    <m:t>P</m:t>
                  </m:r>
                  <m:r>
                    <m:rPr>
                      <m:sty m:val="p"/>
                    </m:rPr>
                    <w:rPr>
                      <w:rStyle w:val="a4"/>
                      <w:rFonts w:ascii="Cambria Math" w:eastAsia="宋体" w:hAnsi="Cambria Math" w:cs="宋体" w:hint="eastAsia"/>
                      <w:color w:val="0F1115"/>
                      <w:sz w:val="28"/>
                      <w:szCs w:val="28"/>
                      <w:shd w:val="clear" w:color="auto" w:fill="FFFFFF"/>
                    </w:rPr>
                    <m:t>rice</m:t>
                  </m:r>
                </m:e>
                <m:sub>
                  <m:r>
                    <m:rPr>
                      <m:sty m:val="p"/>
                    </m:rPr>
                    <w:rPr>
                      <w:rStyle w:val="a4"/>
                      <w:rFonts w:ascii="Cambria Math" w:eastAsia="宋体" w:hAnsi="Cambria Math" w:cs="宋体"/>
                      <w:color w:val="0F1115"/>
                      <w:sz w:val="28"/>
                      <w:szCs w:val="28"/>
                      <w:shd w:val="clear" w:color="auto" w:fill="FFFFFF"/>
                    </w:rPr>
                    <m:t>t-13</m:t>
                  </m:r>
                </m:sub>
              </m:sSub>
            </m:den>
          </m:f>
          <m:r>
            <m:rPr>
              <m:sty m:val="p"/>
            </m:rPr>
            <w:rPr>
              <w:rStyle w:val="a4"/>
              <w:rFonts w:ascii="Cambria Math" w:eastAsia="宋体" w:hAnsi="Cambria Math" w:cs="宋体"/>
              <w:color w:val="0F1115"/>
              <w:sz w:val="28"/>
              <w:szCs w:val="28"/>
              <w:shd w:val="clear" w:color="auto" w:fill="FFFFFF"/>
            </w:rPr>
            <m:t>-1</m:t>
          </m:r>
        </m:oMath>
      </m:oMathPara>
    </w:p>
    <w:p w14:paraId="7B472BE1"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（5）volatility：事件日前第20个交易日至前第120个交易日的日收益率年化标准差。</w:t>
      </w:r>
    </w:p>
    <w:p w14:paraId="696E1BDE" w14:textId="77777777" w:rsidR="00D810F9" w:rsidRDefault="00000000">
      <w:pPr>
        <w:jc w:val="left"/>
      </w:pPr>
      <w:r>
        <w:rPr>
          <w:rStyle w:val="a4"/>
          <w:rFonts w:ascii="宋体" w:eastAsia="宋体" w:hAnsi="宋体" w:cs="宋体" w:hint="eastAsia"/>
          <w:b w:val="0"/>
          <w:color w:val="0F1115"/>
          <w:sz w:val="28"/>
          <w:szCs w:val="28"/>
          <w:shd w:val="clear" w:color="auto" w:fill="FFFFFF"/>
        </w:rPr>
        <w:t>3.新闻文本数据：通过网络爬虫，抓取事件窗口期内关于该模型发布的新闻报道标题及正文。</w:t>
      </w:r>
    </w:p>
    <w:p w14:paraId="4EBB3C0D" w14:textId="77777777" w:rsidR="00D810F9" w:rsidRDefault="00000000">
      <w:pPr>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4.股票池构建</w:t>
      </w:r>
      <w:r>
        <w:rPr>
          <w:rStyle w:val="a4"/>
          <w:rFonts w:ascii="宋体" w:eastAsia="宋体" w:hAnsi="宋体" w:cs="宋体"/>
          <w:b w:val="0"/>
          <w:color w:val="0F1115"/>
          <w:sz w:val="28"/>
          <w:szCs w:val="28"/>
          <w:shd w:val="clear" w:color="auto" w:fill="FFFFFF"/>
        </w:rPr>
        <w:t>：</w:t>
      </w:r>
      <w:r>
        <w:rPr>
          <w:rStyle w:val="a4"/>
          <w:rFonts w:ascii="宋体" w:eastAsia="宋体" w:hAnsi="宋体" w:cs="宋体" w:hint="eastAsia"/>
          <w:b w:val="0"/>
          <w:color w:val="0F1115"/>
          <w:sz w:val="28"/>
          <w:szCs w:val="28"/>
          <w:shd w:val="clear" w:color="auto" w:fill="FFFFFF"/>
        </w:rPr>
        <w:t>手动整理了Artificial Intelligence &amp; Technology ETF中的全部企业，使用全球行业分类标准(GICS)，按照板块（11个）及行业组（24个），</w:t>
      </w:r>
      <w:r>
        <w:rPr>
          <w:rStyle w:val="a4"/>
          <w:rFonts w:ascii="宋体" w:eastAsia="宋体" w:hAnsi="宋体" w:cs="宋体"/>
          <w:b w:val="0"/>
          <w:color w:val="0F1115"/>
          <w:sz w:val="28"/>
          <w:szCs w:val="28"/>
          <w:shd w:val="clear" w:color="auto" w:fill="FFFFFF"/>
        </w:rPr>
        <w:t>将样本公司分为AI</w:t>
      </w:r>
      <w:commentRangeStart w:id="4"/>
      <w:r>
        <w:rPr>
          <w:rStyle w:val="a4"/>
          <w:rFonts w:ascii="宋体" w:eastAsia="宋体" w:hAnsi="宋体" w:cs="宋体"/>
          <w:b w:val="0"/>
          <w:color w:val="0F1115"/>
          <w:sz w:val="28"/>
          <w:szCs w:val="28"/>
          <w:shd w:val="clear" w:color="auto" w:fill="FFFFFF"/>
        </w:rPr>
        <w:t>基础模型、算力、电力、数据、应用等产业链环节，并标注其与发布者的关系（如上游供应商、下游客户、直接竞争对手）</w:t>
      </w:r>
      <w:commentRangeEnd w:id="4"/>
      <w:r w:rsidR="00290A5E">
        <w:rPr>
          <w:rStyle w:val="a6"/>
          <w:rFonts w:ascii="宋体" w:eastAsia="宋体" w:hAnsi="宋体" w:cs="宋体"/>
          <w:color w:val="0F1115"/>
          <w:sz w:val="28"/>
          <w:szCs w:val="28"/>
          <w:shd w:val="clear" w:color="auto" w:fill="FFFFFF"/>
        </w:rPr>
        <w:commentReference w:id="4"/>
      </w:r>
      <w:r>
        <w:rPr>
          <w:rStyle w:val="a4"/>
          <w:rFonts w:ascii="宋体" w:eastAsia="宋体" w:hAnsi="宋体" w:cs="宋体"/>
          <w:b w:val="0"/>
          <w:color w:val="0F1115"/>
          <w:sz w:val="28"/>
          <w:szCs w:val="28"/>
          <w:shd w:val="clear" w:color="auto" w:fill="FFFFFF"/>
        </w:rPr>
        <w:t>。</w:t>
      </w:r>
    </w:p>
    <w:p w14:paraId="6E795639" w14:textId="77777777" w:rsidR="00D810F9" w:rsidRDefault="00000000">
      <w:pPr>
        <w:jc w:val="left"/>
        <w:rPr>
          <w:b/>
          <w:bCs/>
        </w:rPr>
      </w:pPr>
      <w:r>
        <w:rPr>
          <w:rStyle w:val="a4"/>
          <w:rFonts w:ascii="宋体" w:eastAsia="宋体" w:hAnsi="宋体" w:cs="宋体" w:hint="eastAsia"/>
          <w:bCs/>
          <w:color w:val="0F1115"/>
          <w:sz w:val="28"/>
          <w:szCs w:val="28"/>
          <w:shd w:val="clear" w:color="auto" w:fill="FFFFFF"/>
        </w:rPr>
        <w:lastRenderedPageBreak/>
        <w:t>（三） 情感分析</w:t>
      </w:r>
    </w:p>
    <w:p w14:paraId="24E854B3" w14:textId="77777777" w:rsidR="00D810F9" w:rsidRDefault="00000000">
      <w:pPr>
        <w:pStyle w:val="a3"/>
        <w:widowControl/>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1.模型选择</w:t>
      </w:r>
      <w:r>
        <w:rPr>
          <w:rStyle w:val="a4"/>
          <w:rFonts w:ascii="宋体" w:eastAsia="宋体" w:hAnsi="宋体" w:cs="宋体"/>
          <w:b w:val="0"/>
          <w:color w:val="0F1115"/>
          <w:sz w:val="28"/>
          <w:szCs w:val="28"/>
          <w:shd w:val="clear" w:color="auto" w:fill="FFFFFF"/>
        </w:rPr>
        <w:t>：</w:t>
      </w:r>
      <w:r>
        <w:rPr>
          <w:rStyle w:val="a4"/>
          <w:rFonts w:ascii="宋体" w:eastAsia="宋体" w:hAnsi="宋体" w:cs="宋体" w:hint="eastAsia"/>
          <w:b w:val="0"/>
          <w:color w:val="0F1115"/>
          <w:sz w:val="28"/>
          <w:szCs w:val="28"/>
          <w:shd w:val="clear" w:color="auto" w:fill="FFFFFF"/>
        </w:rPr>
        <w:t>经过多方面对比，本研究最终选择</w:t>
      </w:r>
      <w:commentRangeStart w:id="5"/>
      <w:r>
        <w:rPr>
          <w:rStyle w:val="a4"/>
          <w:rFonts w:ascii="宋体" w:eastAsia="宋体" w:hAnsi="宋体" w:cs="宋体" w:hint="eastAsia"/>
          <w:b w:val="0"/>
          <w:color w:val="0F1115"/>
          <w:sz w:val="28"/>
          <w:szCs w:val="28"/>
          <w:shd w:val="clear" w:color="auto" w:fill="FFFFFF"/>
        </w:rPr>
        <w:t>VADER</w:t>
      </w:r>
      <w:commentRangeEnd w:id="5"/>
      <w:r w:rsidR="00290A5E">
        <w:rPr>
          <w:rStyle w:val="a6"/>
          <w:rFonts w:ascii="宋体" w:eastAsia="宋体" w:hAnsi="宋体" w:cs="宋体" w:hint="eastAsia"/>
          <w:color w:val="0F1115"/>
          <w:sz w:val="28"/>
          <w:szCs w:val="28"/>
          <w:shd w:val="clear" w:color="auto" w:fill="FFFFFF"/>
        </w:rPr>
        <w:commentReference w:id="5"/>
      </w:r>
      <w:r>
        <w:rPr>
          <w:rStyle w:val="a4"/>
          <w:rFonts w:ascii="宋体" w:eastAsia="宋体" w:hAnsi="宋体" w:cs="宋体" w:hint="eastAsia"/>
          <w:b w:val="0"/>
          <w:color w:val="0F1115"/>
          <w:sz w:val="28"/>
          <w:szCs w:val="28"/>
          <w:shd w:val="clear" w:color="auto" w:fill="FFFFFF"/>
        </w:rPr>
        <w:t>作为情感分析工具，主要基于以下考虑：</w:t>
      </w:r>
    </w:p>
    <w:p w14:paraId="399DB557"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w:t>
      </w:r>
      <w:r>
        <w:rPr>
          <w:rStyle w:val="a4"/>
          <w:rFonts w:ascii="宋体" w:eastAsia="宋体" w:hAnsi="宋体" w:cs="宋体"/>
          <w:b w:val="0"/>
          <w:color w:val="0F1115"/>
          <w:sz w:val="28"/>
          <w:szCs w:val="28"/>
          <w:shd w:val="clear" w:color="auto" w:fill="FFFFFF"/>
        </w:rPr>
        <w:t>计算效率：可快速处理大规模新闻语料；</w:t>
      </w:r>
    </w:p>
    <w:p w14:paraId="44EE9A7A"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(2)可解释性：基于词典的方法便于追踪情感分数的来源；</w:t>
      </w:r>
    </w:p>
    <w:p w14:paraId="2BED6791"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(3)领域可扩展性：可通过自定义词典增强对LLM领域关键词的敏感性。</w:t>
      </w:r>
    </w:p>
    <w:p w14:paraId="49A38A40"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我们注意到</w:t>
      </w:r>
      <w:r w:rsidRPr="00786596">
        <w:rPr>
          <w:rStyle w:val="a4"/>
          <w:rFonts w:ascii="宋体" w:eastAsia="宋体" w:hAnsi="宋体" w:cs="宋体" w:hint="eastAsia"/>
          <w:b w:val="0"/>
          <w:color w:val="EE0000"/>
          <w:sz w:val="28"/>
          <w:szCs w:val="28"/>
          <w:shd w:val="clear" w:color="auto" w:fill="FFFFFF"/>
        </w:rPr>
        <w:t>VADER</w:t>
      </w:r>
      <w:r>
        <w:rPr>
          <w:rStyle w:val="a4"/>
          <w:rFonts w:ascii="宋体" w:eastAsia="宋体" w:hAnsi="宋体" w:cs="宋体" w:hint="eastAsia"/>
          <w:b w:val="0"/>
          <w:color w:val="0F1115"/>
          <w:sz w:val="28"/>
          <w:szCs w:val="28"/>
          <w:shd w:val="clear" w:color="auto" w:fill="FFFFFF"/>
        </w:rPr>
        <w:t>本身是一个通用的情感分析工具，可能对于特定领域(如大语言模型)的关键词不够敏感。因此可以通过增加领域关键词来增强VADER的情感词典。VADER的情感词典是固定的，无法直接修改，选择通过添加自定义的词汇情感分数来增强。创建一个自定义的情感词典，将LLM领域的重要关键词添加进去，然后合并到VADER的词典中。</w:t>
      </w:r>
    </w:p>
    <w:p w14:paraId="02A7F776" w14:textId="77777777" w:rsidR="00D810F9" w:rsidRDefault="00000000">
      <w:pPr>
        <w:pStyle w:val="a3"/>
        <w:widowControl/>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2.步骤:</w:t>
      </w:r>
    </w:p>
    <w:p w14:paraId="74965993"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（1）从VADER的SentimentlntensityAnalyzer中获取默认的词典</w:t>
      </w:r>
    </w:p>
    <w:p w14:paraId="1CB6B0BA"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（2）创建我们自己的领域关键词词典，为每个词赋予情感分数(根据领域知识或经验)</w:t>
      </w:r>
    </w:p>
    <w:p w14:paraId="2F19EE68"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（3）将自定义词典更新到VADER的词典中</w:t>
      </w:r>
    </w:p>
    <w:p w14:paraId="40704B35"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（4）</w:t>
      </w:r>
      <w:r>
        <w:rPr>
          <w:rStyle w:val="a4"/>
          <w:rFonts w:ascii="宋体" w:eastAsia="宋体" w:hAnsi="宋体" w:cs="宋体"/>
          <w:b w:val="0"/>
          <w:color w:val="0F1115"/>
          <w:sz w:val="28"/>
          <w:szCs w:val="28"/>
          <w:shd w:val="clear" w:color="auto" w:fill="FFFFFF"/>
        </w:rPr>
        <w:t>确定事件窗口：</w:t>
      </w:r>
      <w:r>
        <w:rPr>
          <w:rStyle w:val="a4"/>
          <w:rFonts w:ascii="宋体" w:eastAsia="宋体" w:hAnsi="宋体" w:cs="宋体" w:hint="eastAsia"/>
          <w:b w:val="0"/>
          <w:color w:val="0F1115"/>
          <w:sz w:val="28"/>
          <w:szCs w:val="28"/>
          <w:shd w:val="clear" w:color="auto" w:fill="FFFFFF"/>
        </w:rPr>
        <w:t>考虑到新闻传播的时效性，情感分析聚焦于信息冲击最强的[-7, +7]窗口，事件窗口则保留[-10, +10]以捕捉完整股价反应</w:t>
      </w:r>
    </w:p>
    <w:p w14:paraId="7B7B1112"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lastRenderedPageBreak/>
        <w:t>（5）从全球新闻库中根据关键词和日期抓取相关新闻并</w:t>
      </w:r>
      <w:r>
        <w:rPr>
          <w:rStyle w:val="a4"/>
          <w:rFonts w:ascii="宋体" w:eastAsia="宋体" w:hAnsi="宋体" w:cs="宋体"/>
          <w:b w:val="0"/>
          <w:color w:val="0F1115"/>
          <w:sz w:val="28"/>
          <w:szCs w:val="28"/>
          <w:shd w:val="clear" w:color="auto" w:fill="FFFFFF"/>
        </w:rPr>
        <w:t>清洗新闻文本</w:t>
      </w:r>
    </w:p>
    <w:p w14:paraId="4802E457"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（6）使用更新后的词典进行情感分析</w:t>
      </w:r>
    </w:p>
    <w:p w14:paraId="1591632A" w14:textId="77777777" w:rsidR="00D810F9" w:rsidRDefault="00000000">
      <w:pPr>
        <w:pStyle w:val="a3"/>
        <w:widowControl/>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3.</w:t>
      </w:r>
      <w:r>
        <w:rPr>
          <w:rStyle w:val="a4"/>
          <w:rFonts w:ascii="宋体" w:eastAsia="宋体" w:hAnsi="宋体" w:cs="宋体"/>
          <w:b w:val="0"/>
          <w:color w:val="0F1115"/>
          <w:sz w:val="28"/>
          <w:szCs w:val="28"/>
          <w:shd w:val="clear" w:color="auto" w:fill="FFFFFF"/>
        </w:rPr>
        <w:t>情感指标构建：</w:t>
      </w:r>
    </w:p>
    <w:p w14:paraId="27885127"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w:t>
      </w:r>
      <w:r>
        <w:rPr>
          <w:rStyle w:val="a4"/>
          <w:rFonts w:ascii="宋体" w:eastAsia="宋体" w:hAnsi="宋体" w:cs="宋体"/>
          <w:b w:val="0"/>
          <w:color w:val="0F1115"/>
          <w:sz w:val="28"/>
          <w:szCs w:val="28"/>
          <w:shd w:val="clear" w:color="auto" w:fill="FFFFFF"/>
        </w:rPr>
        <w:t>事件窗口情感均值：衡量媒体对事件的整体态度。</w:t>
      </w:r>
    </w:p>
    <w:p w14:paraId="5F04DFC9"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w:t>
      </w:r>
      <w:r>
        <w:rPr>
          <w:rStyle w:val="a4"/>
          <w:rFonts w:ascii="宋体" w:eastAsia="宋体" w:hAnsi="宋体" w:cs="宋体"/>
          <w:b w:val="0"/>
          <w:color w:val="0F1115"/>
          <w:sz w:val="28"/>
          <w:szCs w:val="28"/>
          <w:shd w:val="clear" w:color="auto" w:fill="FFFFFF"/>
        </w:rPr>
        <w:t>事件窗口情感标准差：衡量媒体意见的分歧程度。</w:t>
      </w:r>
    </w:p>
    <w:p w14:paraId="709A0373"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（四）实证模型设计</w:t>
      </w:r>
    </w:p>
    <w:p w14:paraId="3B684F53"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本研究采用两步法进行分析：</w:t>
      </w:r>
    </w:p>
    <w:p w14:paraId="165A47B8" w14:textId="77777777" w:rsidR="00D810F9" w:rsidRDefault="00000000">
      <w:pPr>
        <w:pStyle w:val="a3"/>
        <w:widowControl/>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w:t>
      </w:r>
      <w:r>
        <w:rPr>
          <w:rStyle w:val="a4"/>
          <w:rFonts w:ascii="宋体" w:eastAsia="宋体" w:hAnsi="宋体" w:cs="宋体"/>
          <w:b w:val="0"/>
          <w:color w:val="0F1115"/>
          <w:sz w:val="28"/>
          <w:szCs w:val="28"/>
          <w:shd w:val="clear" w:color="auto" w:fill="FFFFFF"/>
        </w:rPr>
        <w:t>事件研究法计算异常收益率</w:t>
      </w:r>
    </w:p>
    <w:p w14:paraId="0BEDA0C8"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w:t>
      </w:r>
      <w:r>
        <w:rPr>
          <w:rStyle w:val="a4"/>
          <w:rFonts w:ascii="宋体" w:eastAsia="宋体" w:hAnsi="宋体" w:cs="宋体"/>
          <w:b w:val="0"/>
          <w:color w:val="0F1115"/>
          <w:sz w:val="28"/>
          <w:szCs w:val="28"/>
          <w:shd w:val="clear" w:color="auto" w:fill="FFFFFF"/>
        </w:rPr>
        <w:t>估计窗口：</w:t>
      </w:r>
      <w:r>
        <w:rPr>
          <w:rStyle w:val="a4"/>
          <w:rFonts w:ascii="宋体" w:eastAsia="宋体" w:hAnsi="宋体" w:cs="宋体" w:hint="eastAsia"/>
          <w:b w:val="0"/>
          <w:color w:val="0F1115"/>
          <w:sz w:val="28"/>
          <w:szCs w:val="28"/>
          <w:shd w:val="clear" w:color="auto" w:fill="FFFFFF"/>
        </w:rPr>
        <w:t>根据相关文献和现有研究，</w:t>
      </w:r>
      <w:r>
        <w:rPr>
          <w:rStyle w:val="a4"/>
          <w:rFonts w:ascii="宋体" w:eastAsia="宋体" w:hAnsi="宋体" w:cs="宋体"/>
          <w:b w:val="0"/>
          <w:color w:val="0F1115"/>
          <w:sz w:val="28"/>
          <w:szCs w:val="28"/>
          <w:shd w:val="clear" w:color="auto" w:fill="FFFFFF"/>
        </w:rPr>
        <w:t>事件日前[-</w:t>
      </w:r>
      <w:r>
        <w:rPr>
          <w:rStyle w:val="a4"/>
          <w:rFonts w:ascii="宋体" w:eastAsia="宋体" w:hAnsi="宋体" w:cs="宋体" w:hint="eastAsia"/>
          <w:b w:val="0"/>
          <w:color w:val="0F1115"/>
          <w:sz w:val="28"/>
          <w:szCs w:val="28"/>
          <w:shd w:val="clear" w:color="auto" w:fill="FFFFFF"/>
        </w:rPr>
        <w:t>200</w:t>
      </w:r>
      <w:r>
        <w:rPr>
          <w:rStyle w:val="a4"/>
          <w:rFonts w:ascii="宋体" w:eastAsia="宋体" w:hAnsi="宋体" w:cs="宋体"/>
          <w:b w:val="0"/>
          <w:color w:val="0F1115"/>
          <w:sz w:val="28"/>
          <w:szCs w:val="28"/>
          <w:shd w:val="clear" w:color="auto" w:fill="FFFFFF"/>
        </w:rPr>
        <w:t xml:space="preserve">, </w:t>
      </w:r>
      <w:r>
        <w:rPr>
          <w:rStyle w:val="a4"/>
          <w:rFonts w:ascii="宋体" w:eastAsia="宋体" w:hAnsi="宋体" w:cs="宋体" w:hint="eastAsia"/>
          <w:b w:val="0"/>
          <w:color w:val="0F1115"/>
          <w:sz w:val="28"/>
          <w:szCs w:val="28"/>
          <w:shd w:val="clear" w:color="auto" w:fill="FFFFFF"/>
        </w:rPr>
        <w:t>-10</w:t>
      </w:r>
      <w:r>
        <w:rPr>
          <w:rStyle w:val="a4"/>
          <w:rFonts w:ascii="宋体" w:eastAsia="宋体" w:hAnsi="宋体" w:cs="宋体"/>
          <w:b w:val="0"/>
          <w:color w:val="0F1115"/>
          <w:sz w:val="28"/>
          <w:szCs w:val="28"/>
          <w:shd w:val="clear" w:color="auto" w:fill="FFFFFF"/>
        </w:rPr>
        <w:t>]个交易日。</w:t>
      </w:r>
    </w:p>
    <w:p w14:paraId="32C091CE"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w:t>
      </w:r>
      <w:r>
        <w:rPr>
          <w:rStyle w:val="a4"/>
          <w:rFonts w:ascii="宋体" w:eastAsia="宋体" w:hAnsi="宋体" w:cs="宋体"/>
          <w:b w:val="0"/>
          <w:color w:val="0F1115"/>
          <w:sz w:val="28"/>
          <w:szCs w:val="28"/>
          <w:shd w:val="clear" w:color="auto" w:fill="FFFFFF"/>
        </w:rPr>
        <w:t>模型：采用市场模型进行基准估计，并使用Fama-French 三因子模型进行稳健性检验。</w:t>
      </w:r>
    </w:p>
    <w:p w14:paraId="481C8766" w14:textId="77777777" w:rsidR="00D810F9" w:rsidRPr="00786596" w:rsidRDefault="00000000">
      <w:pPr>
        <w:pStyle w:val="a3"/>
        <w:widowControl/>
        <w:ind w:firstLineChars="200" w:firstLine="560"/>
        <w:rPr>
          <w:rStyle w:val="a4"/>
          <w:rFonts w:ascii="宋体" w:eastAsia="宋体" w:hAnsi="宋体" w:cs="宋体"/>
          <w:b w:val="0"/>
          <w:color w:val="EE0000"/>
          <w:sz w:val="28"/>
          <w:szCs w:val="28"/>
          <w:shd w:val="clear" w:color="auto" w:fill="FFFFFF"/>
        </w:rPr>
      </w:pPr>
      <w:r w:rsidRPr="00786596">
        <w:rPr>
          <w:rStyle w:val="a4"/>
          <w:rFonts w:ascii="宋体" w:eastAsia="宋体" w:hAnsi="宋体" w:cs="宋体" w:hint="eastAsia"/>
          <w:b w:val="0"/>
          <w:color w:val="EE0000"/>
          <w:sz w:val="28"/>
          <w:szCs w:val="28"/>
          <w:shd w:val="clear" w:color="auto" w:fill="FFFFFF"/>
        </w:rPr>
        <w:t>（3）</w:t>
      </w:r>
      <w:r w:rsidRPr="00786596">
        <w:rPr>
          <w:rStyle w:val="a4"/>
          <w:rFonts w:ascii="宋体" w:eastAsia="宋体" w:hAnsi="宋体" w:cs="宋体"/>
          <w:b w:val="0"/>
          <w:color w:val="EE0000"/>
          <w:sz w:val="28"/>
          <w:szCs w:val="28"/>
          <w:shd w:val="clear" w:color="auto" w:fill="FFFFFF"/>
        </w:rPr>
        <w:t>事件窗口：考虑到市场对信息的消化需要时间</w:t>
      </w:r>
      <w:r w:rsidRPr="00786596">
        <w:rPr>
          <w:rStyle w:val="a4"/>
          <w:rFonts w:ascii="宋体" w:eastAsia="宋体" w:hAnsi="宋体" w:cs="宋体" w:hint="eastAsia"/>
          <w:b w:val="0"/>
          <w:color w:val="EE0000"/>
          <w:sz w:val="28"/>
          <w:szCs w:val="28"/>
          <w:shd w:val="clear" w:color="auto" w:fill="FFFFFF"/>
        </w:rPr>
        <w:t>，</w:t>
      </w:r>
      <w:r w:rsidRPr="00786596">
        <w:rPr>
          <w:rStyle w:val="a4"/>
          <w:rFonts w:ascii="宋体" w:eastAsia="宋体" w:hAnsi="宋体" w:cs="宋体"/>
          <w:b w:val="0"/>
          <w:color w:val="EE0000"/>
          <w:sz w:val="28"/>
          <w:szCs w:val="28"/>
          <w:shd w:val="clear" w:color="auto" w:fill="FFFFFF"/>
        </w:rPr>
        <w:t>将主事件窗口设定为[-</w:t>
      </w:r>
      <w:r w:rsidRPr="00786596">
        <w:rPr>
          <w:rStyle w:val="a4"/>
          <w:rFonts w:ascii="宋体" w:eastAsia="宋体" w:hAnsi="宋体" w:cs="宋体" w:hint="eastAsia"/>
          <w:b w:val="0"/>
          <w:color w:val="EE0000"/>
          <w:sz w:val="28"/>
          <w:szCs w:val="28"/>
          <w:shd w:val="clear" w:color="auto" w:fill="FFFFFF"/>
        </w:rPr>
        <w:t>10</w:t>
      </w:r>
      <w:r w:rsidRPr="00786596">
        <w:rPr>
          <w:rStyle w:val="a4"/>
          <w:rFonts w:ascii="宋体" w:eastAsia="宋体" w:hAnsi="宋体" w:cs="宋体"/>
          <w:b w:val="0"/>
          <w:color w:val="EE0000"/>
          <w:sz w:val="28"/>
          <w:szCs w:val="28"/>
          <w:shd w:val="clear" w:color="auto" w:fill="FFFFFF"/>
        </w:rPr>
        <w:t xml:space="preserve">, </w:t>
      </w:r>
      <w:r w:rsidRPr="00786596">
        <w:rPr>
          <w:rStyle w:val="a4"/>
          <w:rFonts w:ascii="宋体" w:eastAsia="宋体" w:hAnsi="宋体" w:cs="宋体" w:hint="eastAsia"/>
          <w:b w:val="0"/>
          <w:color w:val="EE0000"/>
          <w:sz w:val="28"/>
          <w:szCs w:val="28"/>
          <w:shd w:val="clear" w:color="auto" w:fill="FFFFFF"/>
        </w:rPr>
        <w:t>+10</w:t>
      </w:r>
      <w:r w:rsidRPr="00786596">
        <w:rPr>
          <w:rStyle w:val="a4"/>
          <w:rFonts w:ascii="宋体" w:eastAsia="宋体" w:hAnsi="宋体" w:cs="宋体"/>
          <w:b w:val="0"/>
          <w:color w:val="EE0000"/>
          <w:sz w:val="28"/>
          <w:szCs w:val="28"/>
          <w:shd w:val="clear" w:color="auto" w:fill="FFFFFF"/>
        </w:rPr>
        <w:t>]个交易日，并根据事件发酵速度进行敏感性分析（如缩短至[-</w:t>
      </w:r>
      <w:r w:rsidRPr="00786596">
        <w:rPr>
          <w:rStyle w:val="a4"/>
          <w:rFonts w:ascii="宋体" w:eastAsia="宋体" w:hAnsi="宋体" w:cs="宋体" w:hint="eastAsia"/>
          <w:b w:val="0"/>
          <w:color w:val="EE0000"/>
          <w:sz w:val="28"/>
          <w:szCs w:val="28"/>
          <w:shd w:val="clear" w:color="auto" w:fill="FFFFFF"/>
        </w:rPr>
        <w:t>5</w:t>
      </w:r>
      <w:r w:rsidRPr="00786596">
        <w:rPr>
          <w:rStyle w:val="a4"/>
          <w:rFonts w:ascii="宋体" w:eastAsia="宋体" w:hAnsi="宋体" w:cs="宋体"/>
          <w:b w:val="0"/>
          <w:color w:val="EE0000"/>
          <w:sz w:val="28"/>
          <w:szCs w:val="28"/>
          <w:shd w:val="clear" w:color="auto" w:fill="FFFFFF"/>
        </w:rPr>
        <w:t xml:space="preserve">, </w:t>
      </w:r>
      <w:r w:rsidRPr="00786596">
        <w:rPr>
          <w:rStyle w:val="a4"/>
          <w:rFonts w:ascii="宋体" w:eastAsia="宋体" w:hAnsi="宋体" w:cs="宋体" w:hint="eastAsia"/>
          <w:b w:val="0"/>
          <w:color w:val="EE0000"/>
          <w:sz w:val="28"/>
          <w:szCs w:val="28"/>
          <w:shd w:val="clear" w:color="auto" w:fill="FFFFFF"/>
        </w:rPr>
        <w:t>+5</w:t>
      </w:r>
      <w:r w:rsidRPr="00786596">
        <w:rPr>
          <w:rStyle w:val="a4"/>
          <w:rFonts w:ascii="宋体" w:eastAsia="宋体" w:hAnsi="宋体" w:cs="宋体"/>
          <w:b w:val="0"/>
          <w:color w:val="EE0000"/>
          <w:sz w:val="28"/>
          <w:szCs w:val="28"/>
          <w:shd w:val="clear" w:color="auto" w:fill="FFFFFF"/>
        </w:rPr>
        <w:t>][-</w:t>
      </w:r>
      <w:r w:rsidRPr="00786596">
        <w:rPr>
          <w:rStyle w:val="a4"/>
          <w:rFonts w:ascii="宋体" w:eastAsia="宋体" w:hAnsi="宋体" w:cs="宋体" w:hint="eastAsia"/>
          <w:b w:val="0"/>
          <w:color w:val="EE0000"/>
          <w:sz w:val="28"/>
          <w:szCs w:val="28"/>
          <w:shd w:val="clear" w:color="auto" w:fill="FFFFFF"/>
        </w:rPr>
        <w:t>1</w:t>
      </w:r>
      <w:r w:rsidRPr="00786596">
        <w:rPr>
          <w:rStyle w:val="a4"/>
          <w:rFonts w:ascii="宋体" w:eastAsia="宋体" w:hAnsi="宋体" w:cs="宋体"/>
          <w:b w:val="0"/>
          <w:color w:val="EE0000"/>
          <w:sz w:val="28"/>
          <w:szCs w:val="28"/>
          <w:shd w:val="clear" w:color="auto" w:fill="FFFFFF"/>
        </w:rPr>
        <w:t xml:space="preserve">, </w:t>
      </w:r>
      <w:r w:rsidRPr="00786596">
        <w:rPr>
          <w:rStyle w:val="a4"/>
          <w:rFonts w:ascii="宋体" w:eastAsia="宋体" w:hAnsi="宋体" w:cs="宋体" w:hint="eastAsia"/>
          <w:b w:val="0"/>
          <w:color w:val="EE0000"/>
          <w:sz w:val="28"/>
          <w:szCs w:val="28"/>
          <w:shd w:val="clear" w:color="auto" w:fill="FFFFFF"/>
        </w:rPr>
        <w:t>+1</w:t>
      </w:r>
      <w:r w:rsidRPr="00786596">
        <w:rPr>
          <w:rStyle w:val="a4"/>
          <w:rFonts w:ascii="宋体" w:eastAsia="宋体" w:hAnsi="宋体" w:cs="宋体"/>
          <w:b w:val="0"/>
          <w:color w:val="EE0000"/>
          <w:sz w:val="28"/>
          <w:szCs w:val="28"/>
          <w:shd w:val="clear" w:color="auto" w:fill="FFFFFF"/>
        </w:rPr>
        <w:t>]）。</w:t>
      </w:r>
    </w:p>
    <w:p w14:paraId="0EDE756E"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（4）</w:t>
      </w:r>
      <w:r>
        <w:rPr>
          <w:rStyle w:val="a4"/>
          <w:rFonts w:ascii="宋体" w:eastAsia="宋体" w:hAnsi="宋体" w:cs="宋体"/>
          <w:b w:val="0"/>
          <w:color w:val="0F1115"/>
          <w:sz w:val="28"/>
          <w:szCs w:val="28"/>
          <w:shd w:val="clear" w:color="auto" w:fill="FFFFFF"/>
        </w:rPr>
        <w:t>输出：计算每个事件中每家样本公司的累计异常收益率（CAR），得到面板数据结构：事件</w:t>
      </w:r>
      <w:r>
        <w:rPr>
          <w:rStyle w:val="a4"/>
          <w:rFonts w:ascii="宋体" w:eastAsia="宋体" w:hAnsi="宋体" w:cs="宋体" w:hint="eastAsia"/>
          <w:b w:val="0"/>
          <w:color w:val="0F1115"/>
          <w:sz w:val="28"/>
          <w:szCs w:val="28"/>
          <w:shd w:val="clear" w:color="auto" w:fill="FFFFFF"/>
        </w:rPr>
        <w:t>i</w:t>
      </w:r>
      <w:r>
        <w:rPr>
          <w:rStyle w:val="a4"/>
          <w:rFonts w:ascii="宋体" w:eastAsia="宋体" w:hAnsi="宋体" w:cs="宋体"/>
          <w:b w:val="0"/>
          <w:color w:val="0F1115"/>
          <w:sz w:val="28"/>
          <w:szCs w:val="28"/>
          <w:shd w:val="clear" w:color="auto" w:fill="FFFFFF"/>
        </w:rPr>
        <w:t>× 公司</w:t>
      </w:r>
      <w:r>
        <w:rPr>
          <w:rStyle w:val="a4"/>
          <w:rFonts w:ascii="宋体" w:eastAsia="宋体" w:hAnsi="宋体" w:cs="宋体" w:hint="eastAsia"/>
          <w:b w:val="0"/>
          <w:color w:val="0F1115"/>
          <w:sz w:val="28"/>
          <w:szCs w:val="28"/>
          <w:shd w:val="clear" w:color="auto" w:fill="FFFFFF"/>
        </w:rPr>
        <w:t>j</w:t>
      </w:r>
      <w:r>
        <w:rPr>
          <w:rStyle w:val="a4"/>
          <w:rFonts w:ascii="宋体" w:eastAsia="宋体" w:hAnsi="宋体" w:cs="宋体"/>
          <w:b w:val="0"/>
          <w:color w:val="0F1115"/>
          <w:sz w:val="28"/>
          <w:szCs w:val="28"/>
          <w:shd w:val="clear" w:color="auto" w:fill="FFFFFF"/>
        </w:rPr>
        <w:t>。</w:t>
      </w:r>
    </w:p>
    <w:p w14:paraId="32ABB945" w14:textId="77777777" w:rsidR="00D810F9" w:rsidRDefault="00000000">
      <w:pPr>
        <w:pStyle w:val="a3"/>
        <w:widowControl/>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w:t>
      </w:r>
      <w:r>
        <w:rPr>
          <w:rStyle w:val="a4"/>
          <w:rFonts w:ascii="宋体" w:eastAsia="宋体" w:hAnsi="宋体" w:cs="宋体"/>
          <w:b w:val="0"/>
          <w:color w:val="0F1115"/>
          <w:sz w:val="28"/>
          <w:szCs w:val="28"/>
          <w:shd w:val="clear" w:color="auto" w:fill="FFFFFF"/>
        </w:rPr>
        <w:t>面板数据回归分析——解释CAR的异质性</w:t>
      </w:r>
    </w:p>
    <w:p w14:paraId="21E94FC4"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由于数据同时包含事件维度（i）和企业维度（j），构成了面板数据。为解释不同事件、不同企业CAR的差异，构建如下双向固定效应模型：</w:t>
      </w:r>
    </w:p>
    <w:commentRangeStart w:id="6"/>
    <w:p w14:paraId="37AF963A" w14:textId="77777777" w:rsidR="00D810F9" w:rsidRDefault="00000000">
      <w:pPr>
        <w:pStyle w:val="a3"/>
        <w:widowControl/>
        <w:rPr>
          <w:rStyle w:val="a4"/>
          <w:rFonts w:ascii="宋体" w:hAnsi="宋体" w:cs="宋体"/>
          <w:b w:val="0"/>
          <w:color w:val="0F1115"/>
          <w:sz w:val="28"/>
          <w:szCs w:val="28"/>
          <w:shd w:val="clear" w:color="auto" w:fill="FFFFFF"/>
        </w:rPr>
      </w:pPr>
      <m:oMath>
        <m:sSub>
          <m:sSubPr>
            <m:ctrlPr>
              <w:rPr>
                <w:rStyle w:val="a4"/>
                <w:rFonts w:ascii="Cambria Math" w:hAnsi="Cambria Math" w:cs="宋体"/>
                <w:b w:val="0"/>
                <w:i/>
                <w:color w:val="0F1115"/>
                <w:sz w:val="28"/>
                <w:szCs w:val="28"/>
                <w:shd w:val="clear" w:color="auto" w:fill="FFFFFF"/>
              </w:rPr>
            </m:ctrlPr>
          </m:sSubPr>
          <m:e>
            <m:r>
              <w:rPr>
                <w:rStyle w:val="a4"/>
                <w:rFonts w:ascii="Cambria Math" w:hAnsi="Cambria Math" w:cs="宋体"/>
                <w:color w:val="0F1115"/>
                <w:sz w:val="28"/>
                <w:szCs w:val="28"/>
                <w:shd w:val="clear" w:color="auto" w:fill="FFFFFF"/>
              </w:rPr>
              <m:t>CAR</m:t>
            </m:r>
          </m:e>
          <m:sub>
            <m:r>
              <w:rPr>
                <w:rStyle w:val="a4"/>
                <w:rFonts w:ascii="Cambria Math" w:hAnsi="Cambria Math" w:cs="宋体"/>
                <w:color w:val="0F1115"/>
                <w:sz w:val="28"/>
                <w:szCs w:val="28"/>
                <w:shd w:val="clear" w:color="auto" w:fill="FFFFFF"/>
              </w:rPr>
              <m:t>ij</m:t>
            </m:r>
          </m:sub>
        </m:sSub>
        <m:r>
          <w:rPr>
            <w:rStyle w:val="a4"/>
            <w:rFonts w:ascii="Cambria Math" w:hAnsi="Cambria Math" w:cs="宋体"/>
            <w:color w:val="0F1115"/>
            <w:sz w:val="28"/>
            <w:szCs w:val="28"/>
            <w:shd w:val="clear" w:color="auto" w:fill="FFFFFF"/>
          </w:rPr>
          <m:t>=</m:t>
        </m:r>
        <m:sSub>
          <m:sSubPr>
            <m:ctrlPr>
              <w:rPr>
                <w:rStyle w:val="a4"/>
                <w:rFonts w:ascii="Cambria Math" w:hAnsi="Cambria Math" w:cs="宋体"/>
                <w:b w:val="0"/>
                <w:i/>
                <w:color w:val="0F1115"/>
                <w:sz w:val="28"/>
                <w:szCs w:val="28"/>
                <w:shd w:val="clear" w:color="auto" w:fill="FFFFFF"/>
              </w:rPr>
            </m:ctrlPr>
          </m:sSubPr>
          <m:e>
            <m:r>
              <m:rPr>
                <m:sty m:val="bi"/>
              </m:rPr>
              <w:rPr>
                <w:rStyle w:val="a4"/>
                <w:rFonts w:ascii="Cambria Math" w:hAnsi="Cambria Math" w:cs="宋体"/>
                <w:color w:val="0F1115"/>
                <w:sz w:val="28"/>
                <w:szCs w:val="28"/>
                <w:shd w:val="clear" w:color="auto" w:fill="FFFFFF"/>
              </w:rPr>
              <m:t>β</m:t>
            </m:r>
          </m:e>
          <m:sub>
            <m:r>
              <w:rPr>
                <w:rStyle w:val="a4"/>
                <w:rFonts w:ascii="Cambria Math" w:hAnsi="Cambria Math" w:cs="宋体"/>
                <w:color w:val="0F1115"/>
                <w:sz w:val="28"/>
                <w:szCs w:val="28"/>
                <w:shd w:val="clear" w:color="auto" w:fill="FFFFFF"/>
              </w:rPr>
              <m:t>0</m:t>
            </m:r>
          </m:sub>
        </m:sSub>
        <m:r>
          <w:rPr>
            <w:rStyle w:val="a4"/>
            <w:rFonts w:ascii="Cambria Math" w:hAnsi="Cambria Math" w:cs="宋体"/>
            <w:color w:val="0F1115"/>
            <w:sz w:val="28"/>
            <w:szCs w:val="28"/>
            <w:shd w:val="clear" w:color="auto" w:fill="FFFFFF"/>
          </w:rPr>
          <m:t>+</m:t>
        </m:r>
        <m:sSub>
          <m:sSubPr>
            <m:ctrlPr>
              <w:rPr>
                <w:rStyle w:val="a4"/>
                <w:rFonts w:ascii="Cambria Math" w:hAnsi="Cambria Math" w:cs="宋体"/>
                <w:b w:val="0"/>
                <w:i/>
                <w:color w:val="0F1115"/>
                <w:sz w:val="28"/>
                <w:szCs w:val="28"/>
                <w:shd w:val="clear" w:color="auto" w:fill="FFFFFF"/>
              </w:rPr>
            </m:ctrlPr>
          </m:sSubPr>
          <m:e>
            <m:r>
              <m:rPr>
                <m:sty m:val="bi"/>
              </m:rPr>
              <w:rPr>
                <w:rStyle w:val="a4"/>
                <w:rFonts w:ascii="Cambria Math" w:hAnsi="Cambria Math" w:cs="宋体"/>
                <w:color w:val="0F1115"/>
                <w:sz w:val="28"/>
                <w:szCs w:val="28"/>
                <w:shd w:val="clear" w:color="auto" w:fill="FFFFFF"/>
              </w:rPr>
              <m:t>β</m:t>
            </m:r>
          </m:e>
          <m:sub>
            <m:r>
              <w:rPr>
                <w:rStyle w:val="a4"/>
                <w:rFonts w:ascii="Cambria Math" w:hAnsi="Cambria Math" w:cs="宋体"/>
                <w:color w:val="0F1115"/>
                <w:sz w:val="28"/>
                <w:szCs w:val="28"/>
                <w:shd w:val="clear" w:color="auto" w:fill="FFFFFF"/>
              </w:rPr>
              <m:t>1</m:t>
            </m:r>
          </m:sub>
        </m:sSub>
        <m:sSub>
          <m:sSubPr>
            <m:ctrlPr>
              <w:rPr>
                <w:rStyle w:val="a4"/>
                <w:rFonts w:ascii="Cambria Math" w:hAnsi="Cambria Math" w:cs="宋体"/>
                <w:b w:val="0"/>
                <w:i/>
                <w:color w:val="0F1115"/>
                <w:sz w:val="28"/>
                <w:szCs w:val="28"/>
                <w:shd w:val="clear" w:color="auto" w:fill="FFFFFF"/>
              </w:rPr>
            </m:ctrlPr>
          </m:sSubPr>
          <m:e>
            <m:r>
              <w:rPr>
                <w:rStyle w:val="a4"/>
                <w:rFonts w:ascii="Cambria Math" w:hAnsi="Cambria Math" w:cs="宋体"/>
                <w:color w:val="0F1115"/>
                <w:sz w:val="28"/>
                <w:szCs w:val="28"/>
                <w:shd w:val="clear" w:color="auto" w:fill="FFFFFF"/>
              </w:rPr>
              <m:t>X</m:t>
            </m:r>
          </m:e>
          <m:sub>
            <m:r>
              <w:rPr>
                <w:rStyle w:val="a4"/>
                <w:rFonts w:ascii="Cambria Math" w:hAnsi="Cambria Math" w:cs="宋体"/>
                <w:color w:val="0F1115"/>
                <w:sz w:val="28"/>
                <w:szCs w:val="28"/>
                <w:shd w:val="clear" w:color="auto" w:fill="FFFFFF"/>
              </w:rPr>
              <m:t>1</m:t>
            </m:r>
          </m:sub>
        </m:sSub>
        <m:r>
          <w:rPr>
            <w:rStyle w:val="a4"/>
            <w:rFonts w:ascii="Cambria Math" w:hAnsi="Cambria Math" w:cs="宋体"/>
            <w:color w:val="0F1115"/>
            <w:sz w:val="28"/>
            <w:szCs w:val="28"/>
            <w:shd w:val="clear" w:color="auto" w:fill="FFFFFF"/>
          </w:rPr>
          <m:t>+</m:t>
        </m:r>
        <m:sSub>
          <m:sSubPr>
            <m:ctrlPr>
              <w:rPr>
                <w:rStyle w:val="a4"/>
                <w:rFonts w:ascii="Cambria Math" w:hAnsi="Cambria Math" w:cs="宋体"/>
                <w:b w:val="0"/>
                <w:i/>
                <w:color w:val="0F1115"/>
                <w:sz w:val="28"/>
                <w:szCs w:val="28"/>
                <w:shd w:val="clear" w:color="auto" w:fill="FFFFFF"/>
              </w:rPr>
            </m:ctrlPr>
          </m:sSubPr>
          <m:e>
            <m:r>
              <m:rPr>
                <m:sty m:val="bi"/>
              </m:rPr>
              <w:rPr>
                <w:rStyle w:val="a4"/>
                <w:rFonts w:ascii="Cambria Math" w:hAnsi="Cambria Math" w:cs="宋体"/>
                <w:color w:val="0F1115"/>
                <w:sz w:val="28"/>
                <w:szCs w:val="28"/>
                <w:shd w:val="clear" w:color="auto" w:fill="FFFFFF"/>
              </w:rPr>
              <m:t>β</m:t>
            </m:r>
          </m:e>
          <m:sub>
            <m:r>
              <w:rPr>
                <w:rStyle w:val="a4"/>
                <w:rFonts w:ascii="Cambria Math" w:hAnsi="Cambria Math" w:cs="宋体"/>
                <w:color w:val="0F1115"/>
                <w:sz w:val="28"/>
                <w:szCs w:val="28"/>
                <w:shd w:val="clear" w:color="auto" w:fill="FFFFFF"/>
              </w:rPr>
              <m:t>2</m:t>
            </m:r>
          </m:sub>
        </m:sSub>
        <m:sSub>
          <m:sSubPr>
            <m:ctrlPr>
              <w:rPr>
                <w:rStyle w:val="a4"/>
                <w:rFonts w:ascii="Cambria Math" w:hAnsi="Cambria Math" w:cs="宋体"/>
                <w:b w:val="0"/>
                <w:i/>
                <w:color w:val="0F1115"/>
                <w:sz w:val="28"/>
                <w:szCs w:val="28"/>
                <w:shd w:val="clear" w:color="auto" w:fill="FFFFFF"/>
              </w:rPr>
            </m:ctrlPr>
          </m:sSubPr>
          <m:e>
            <m:r>
              <w:rPr>
                <w:rStyle w:val="a4"/>
                <w:rFonts w:ascii="Cambria Math" w:hAnsi="Cambria Math" w:cs="宋体"/>
                <w:color w:val="0F1115"/>
                <w:sz w:val="28"/>
                <w:szCs w:val="28"/>
                <w:shd w:val="clear" w:color="auto" w:fill="FFFFFF"/>
              </w:rPr>
              <m:t>X</m:t>
            </m:r>
          </m:e>
          <m:sub>
            <m:r>
              <w:rPr>
                <w:rStyle w:val="a4"/>
                <w:rFonts w:ascii="Cambria Math" w:hAnsi="Cambria Math" w:cs="宋体"/>
                <w:color w:val="0F1115"/>
                <w:sz w:val="28"/>
                <w:szCs w:val="28"/>
                <w:shd w:val="clear" w:color="auto" w:fill="FFFFFF"/>
              </w:rPr>
              <m:t>2</m:t>
            </m:r>
          </m:sub>
        </m:sSub>
        <m:r>
          <w:rPr>
            <w:rStyle w:val="a4"/>
            <w:rFonts w:ascii="Cambria Math" w:hAnsi="Cambria Math" w:cs="宋体"/>
            <w:color w:val="0F1115"/>
            <w:sz w:val="28"/>
            <w:szCs w:val="28"/>
            <w:shd w:val="clear" w:color="auto" w:fill="FFFFFF"/>
          </w:rPr>
          <m:t>+</m:t>
        </m:r>
        <m:sSub>
          <m:sSubPr>
            <m:ctrlPr>
              <w:rPr>
                <w:rStyle w:val="a4"/>
                <w:rFonts w:ascii="Cambria Math" w:hAnsi="Cambria Math" w:cs="宋体"/>
                <w:b w:val="0"/>
                <w:i/>
                <w:color w:val="0F1115"/>
                <w:sz w:val="28"/>
                <w:szCs w:val="28"/>
                <w:shd w:val="clear" w:color="auto" w:fill="FFFFFF"/>
              </w:rPr>
            </m:ctrlPr>
          </m:sSubPr>
          <m:e>
            <m:r>
              <m:rPr>
                <m:sty m:val="bi"/>
              </m:rPr>
              <w:rPr>
                <w:rStyle w:val="a4"/>
                <w:rFonts w:ascii="Cambria Math" w:hAnsi="Cambria Math" w:cs="宋体"/>
                <w:color w:val="0F1115"/>
                <w:sz w:val="28"/>
                <w:szCs w:val="28"/>
                <w:shd w:val="clear" w:color="auto" w:fill="FFFFFF"/>
              </w:rPr>
              <m:t>δ</m:t>
            </m:r>
          </m:e>
          <m:sub>
            <m:r>
              <w:rPr>
                <w:rStyle w:val="a4"/>
                <w:rFonts w:ascii="Cambria Math" w:hAnsi="Cambria Math" w:cs="宋体"/>
                <w:color w:val="0F1115"/>
                <w:sz w:val="28"/>
                <w:szCs w:val="28"/>
                <w:shd w:val="clear" w:color="auto" w:fill="FFFFFF"/>
              </w:rPr>
              <m:t>industry(j)</m:t>
            </m:r>
          </m:sub>
        </m:sSub>
        <m:r>
          <w:rPr>
            <w:rStyle w:val="a4"/>
            <w:rFonts w:ascii="Cambria Math" w:hAnsi="Cambria Math" w:cs="宋体"/>
            <w:color w:val="0F1115"/>
            <w:sz w:val="28"/>
            <w:szCs w:val="28"/>
            <w:shd w:val="clear" w:color="auto" w:fill="FFFFFF"/>
          </w:rPr>
          <m:t>+</m:t>
        </m:r>
        <m:sSub>
          <m:sSubPr>
            <m:ctrlPr>
              <w:rPr>
                <w:rStyle w:val="a4"/>
                <w:rFonts w:ascii="Cambria Math" w:hAnsi="Cambria Math" w:cs="宋体"/>
                <w:b w:val="0"/>
                <w:i/>
                <w:color w:val="0F1115"/>
                <w:sz w:val="28"/>
                <w:szCs w:val="28"/>
                <w:shd w:val="clear" w:color="auto" w:fill="FFFFFF"/>
              </w:rPr>
            </m:ctrlPr>
          </m:sSubPr>
          <m:e>
            <m:r>
              <m:rPr>
                <m:sty m:val="bi"/>
              </m:rPr>
              <w:rPr>
                <w:rStyle w:val="a4"/>
                <w:rFonts w:ascii="Cambria Math" w:hAnsi="Cambria Math" w:cs="宋体"/>
                <w:color w:val="0F1115"/>
                <w:sz w:val="28"/>
                <w:szCs w:val="28"/>
                <w:shd w:val="clear" w:color="auto" w:fill="FFFFFF"/>
              </w:rPr>
              <m:t>γ</m:t>
            </m:r>
          </m:e>
          <m:sub>
            <m:r>
              <w:rPr>
                <w:rStyle w:val="a4"/>
                <w:rFonts w:ascii="Cambria Math" w:hAnsi="Cambria Math" w:cs="宋体"/>
                <w:color w:val="0F1115"/>
                <w:sz w:val="28"/>
                <w:szCs w:val="28"/>
                <w:shd w:val="clear" w:color="auto" w:fill="FFFFFF"/>
              </w:rPr>
              <m:t>quarter(i)</m:t>
            </m:r>
          </m:sub>
        </m:sSub>
        <m:r>
          <w:rPr>
            <w:rStyle w:val="a4"/>
            <w:rFonts w:ascii="Cambria Math" w:hAnsi="Cambria Math" w:cs="宋体"/>
            <w:color w:val="0F1115"/>
            <w:sz w:val="28"/>
            <w:szCs w:val="28"/>
            <w:shd w:val="clear" w:color="auto" w:fill="FFFFFF"/>
          </w:rPr>
          <m:t>+</m:t>
        </m:r>
        <m:sSub>
          <m:sSubPr>
            <m:ctrlPr>
              <w:rPr>
                <w:rStyle w:val="a4"/>
                <w:rFonts w:ascii="Cambria Math" w:hAnsi="Cambria Math" w:cs="宋体"/>
                <w:b w:val="0"/>
                <w:i/>
                <w:color w:val="0F1115"/>
                <w:sz w:val="28"/>
                <w:szCs w:val="28"/>
                <w:shd w:val="clear" w:color="auto" w:fill="FFFFFF"/>
              </w:rPr>
            </m:ctrlPr>
          </m:sSubPr>
          <m:e>
            <m:r>
              <m:rPr>
                <m:sty m:val="bi"/>
              </m:rPr>
              <w:rPr>
                <w:rStyle w:val="a4"/>
                <w:rFonts w:ascii="Cambria Math" w:hAnsi="Cambria Math" w:cs="宋体"/>
                <w:color w:val="0F1115"/>
                <w:sz w:val="28"/>
                <w:szCs w:val="28"/>
                <w:shd w:val="clear" w:color="auto" w:fill="FFFFFF"/>
              </w:rPr>
              <m:t>ε</m:t>
            </m:r>
          </m:e>
          <m:sub>
            <m:r>
              <w:rPr>
                <w:rStyle w:val="a4"/>
                <w:rFonts w:ascii="Cambria Math" w:hAnsi="Cambria Math" w:cs="宋体"/>
                <w:color w:val="0F1115"/>
                <w:sz w:val="28"/>
                <w:szCs w:val="28"/>
                <w:shd w:val="clear" w:color="auto" w:fill="FFFFFF"/>
              </w:rPr>
              <m:t>ij</m:t>
            </m:r>
          </m:sub>
        </m:sSub>
      </m:oMath>
      <w:commentRangeEnd w:id="6"/>
      <w:r w:rsidR="00290A5E">
        <w:rPr>
          <w:rStyle w:val="a6"/>
          <w:rFonts w:ascii="宋体" w:hAnsi="宋体" w:cs="宋体"/>
          <w:color w:val="0F1115"/>
          <w:sz w:val="28"/>
          <w:szCs w:val="28"/>
          <w:shd w:val="clear" w:color="auto" w:fill="FFFFFF"/>
        </w:rPr>
        <w:commentReference w:id="6"/>
      </w:r>
    </w:p>
    <w:p w14:paraId="4D91F402"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（1）被解释变量</w:t>
      </w:r>
      <w:r>
        <w:rPr>
          <w:rStyle w:val="a4"/>
          <w:rFonts w:ascii="宋体" w:eastAsia="宋体" w:hAnsi="宋体" w:cs="宋体"/>
          <w:b w:val="0"/>
          <w:color w:val="0F1115"/>
          <w:sz w:val="28"/>
          <w:szCs w:val="28"/>
          <w:shd w:val="clear" w:color="auto" w:fill="FFFFFF"/>
        </w:rPr>
        <w:t>：</w:t>
      </w:r>
      <m:oMath>
        <m:sSub>
          <m:sSubPr>
            <m:ctrlPr>
              <w:rPr>
                <w:rStyle w:val="a4"/>
                <w:rFonts w:ascii="Cambria Math" w:hAnsi="Cambria Math" w:cs="宋体"/>
                <w:b w:val="0"/>
                <w:i/>
                <w:color w:val="0F1115"/>
                <w:sz w:val="28"/>
                <w:szCs w:val="28"/>
                <w:shd w:val="clear" w:color="auto" w:fill="FFFFFF"/>
              </w:rPr>
            </m:ctrlPr>
          </m:sSubPr>
          <m:e>
            <m:r>
              <w:rPr>
                <w:rStyle w:val="a4"/>
                <w:rFonts w:ascii="Cambria Math" w:hAnsi="Cambria Math" w:cs="宋体"/>
                <w:color w:val="0F1115"/>
                <w:sz w:val="28"/>
                <w:szCs w:val="28"/>
                <w:shd w:val="clear" w:color="auto" w:fill="FFFFFF"/>
              </w:rPr>
              <m:t>CAR</m:t>
            </m:r>
          </m:e>
          <m:sub>
            <m:r>
              <w:rPr>
                <w:rStyle w:val="a4"/>
                <w:rFonts w:ascii="Cambria Math" w:hAnsi="Cambria Math" w:cs="宋体"/>
                <w:color w:val="0F1115"/>
                <w:sz w:val="28"/>
                <w:szCs w:val="28"/>
                <w:shd w:val="clear" w:color="auto" w:fill="FFFFFF"/>
              </w:rPr>
              <m:t>ij</m:t>
            </m:r>
          </m:sub>
        </m:sSub>
      </m:oMath>
      <w:r>
        <w:rPr>
          <w:rStyle w:val="a4"/>
          <w:rFonts w:ascii="宋体" w:eastAsia="宋体" w:hAnsi="宋体" w:cs="宋体"/>
          <w:b w:val="0"/>
          <w:color w:val="0F1115"/>
          <w:sz w:val="28"/>
          <w:szCs w:val="28"/>
          <w:shd w:val="clear" w:color="auto" w:fill="FFFFFF"/>
        </w:rPr>
        <w:t> —— 事件</w:t>
      </w:r>
      <w:r>
        <w:rPr>
          <w:rStyle w:val="a4"/>
          <w:rFonts w:ascii="宋体" w:eastAsia="宋体" w:hAnsi="宋体" w:cs="宋体" w:hint="eastAsia"/>
          <w:b w:val="0"/>
          <w:color w:val="0F1115"/>
          <w:sz w:val="28"/>
          <w:szCs w:val="28"/>
          <w:shd w:val="clear" w:color="auto" w:fill="FFFFFF"/>
        </w:rPr>
        <w:t>i</w:t>
      </w:r>
      <w:r>
        <w:rPr>
          <w:rStyle w:val="a4"/>
          <w:rFonts w:ascii="宋体" w:eastAsia="宋体" w:hAnsi="宋体" w:cs="宋体"/>
          <w:b w:val="0"/>
          <w:color w:val="0F1115"/>
          <w:sz w:val="28"/>
          <w:szCs w:val="28"/>
          <w:shd w:val="clear" w:color="auto" w:fill="FFFFFF"/>
        </w:rPr>
        <w:t>中公司</w:t>
      </w:r>
      <w:r>
        <w:rPr>
          <w:rStyle w:val="a4"/>
          <w:rFonts w:ascii="宋体" w:eastAsia="宋体" w:hAnsi="宋体" w:cs="宋体" w:hint="eastAsia"/>
          <w:b w:val="0"/>
          <w:color w:val="0F1115"/>
          <w:sz w:val="28"/>
          <w:szCs w:val="28"/>
          <w:shd w:val="clear" w:color="auto" w:fill="FFFFFF"/>
        </w:rPr>
        <w:t>j</w:t>
      </w:r>
      <w:r>
        <w:rPr>
          <w:rStyle w:val="a4"/>
          <w:rFonts w:ascii="宋体" w:eastAsia="宋体" w:hAnsi="宋体" w:cs="宋体"/>
          <w:b w:val="0"/>
          <w:color w:val="0F1115"/>
          <w:sz w:val="28"/>
          <w:szCs w:val="28"/>
          <w:shd w:val="clear" w:color="auto" w:fill="FFFFFF"/>
        </w:rPr>
        <w:t>的累计异常收益率。</w:t>
      </w:r>
    </w:p>
    <w:p w14:paraId="54EB202B"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w:t>
      </w:r>
      <w:r>
        <w:rPr>
          <w:rStyle w:val="a4"/>
          <w:rFonts w:ascii="宋体" w:eastAsia="宋体" w:hAnsi="宋体" w:cs="宋体"/>
          <w:b w:val="0"/>
          <w:color w:val="0F1115"/>
          <w:sz w:val="28"/>
          <w:szCs w:val="28"/>
          <w:shd w:val="clear" w:color="auto" w:fill="FFFFFF"/>
        </w:rPr>
        <w:t>核心解释变量：</w:t>
      </w:r>
    </w:p>
    <w:p w14:paraId="7CB9E1C5"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m:oMath>
        <m:sSub>
          <m:sSubPr>
            <m:ctrlPr>
              <w:rPr>
                <w:rStyle w:val="a4"/>
                <w:rFonts w:ascii="Cambria Math" w:hAnsi="Cambria Math" w:cs="宋体"/>
                <w:b w:val="0"/>
                <w:i/>
                <w:color w:val="0F1115"/>
                <w:sz w:val="28"/>
                <w:szCs w:val="28"/>
                <w:shd w:val="clear" w:color="auto" w:fill="FFFFFF"/>
              </w:rPr>
            </m:ctrlPr>
          </m:sSubPr>
          <m:e>
            <m:r>
              <w:rPr>
                <w:rStyle w:val="a4"/>
                <w:rFonts w:ascii="Cambria Math" w:hAnsi="Cambria Math" w:cs="宋体"/>
                <w:color w:val="0F1115"/>
                <w:sz w:val="28"/>
                <w:szCs w:val="28"/>
                <w:shd w:val="clear" w:color="auto" w:fill="FFFFFF"/>
              </w:rPr>
              <m:t>X</m:t>
            </m:r>
          </m:e>
          <m:sub>
            <m:r>
              <w:rPr>
                <w:rStyle w:val="a4"/>
                <w:rFonts w:ascii="Cambria Math" w:hAnsi="Cambria Math" w:cs="宋体"/>
                <w:color w:val="0F1115"/>
                <w:sz w:val="28"/>
                <w:szCs w:val="28"/>
                <w:shd w:val="clear" w:color="auto" w:fill="FFFFFF"/>
              </w:rPr>
              <m:t>2</m:t>
            </m:r>
          </m:sub>
        </m:sSub>
      </m:oMath>
      <w:r>
        <w:rPr>
          <w:rStyle w:val="a4"/>
          <w:rFonts w:hAnsi="Cambria Math" w:cs="宋体" w:hint="eastAsia"/>
          <w:color w:val="0F1115"/>
          <w:sz w:val="28"/>
          <w:szCs w:val="28"/>
          <w:shd w:val="clear" w:color="auto" w:fill="FFFFFF"/>
        </w:rPr>
        <w:t xml:space="preserve"> </w:t>
      </w:r>
      <w:r>
        <w:rPr>
          <w:rStyle w:val="a4"/>
          <w:rFonts w:ascii="宋体" w:eastAsia="宋体" w:hAnsi="宋体" w:cs="宋体"/>
          <w:b w:val="0"/>
          <w:color w:val="0F1115"/>
          <w:sz w:val="28"/>
          <w:szCs w:val="28"/>
          <w:shd w:val="clear" w:color="auto" w:fill="FFFFFF"/>
        </w:rPr>
        <w:t>事件级特征向量。包括：媒体情感均值、情感标准差。</w:t>
      </w:r>
    </w:p>
    <w:p w14:paraId="0CF468AD"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模型技术特征：MMLU等权威基准得分（能力）、是否开源、是否多模态、发布主体国籍。</w:t>
      </w:r>
    </w:p>
    <w:p w14:paraId="6C97BA9C"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m:oMath>
        <m:sSub>
          <m:sSubPr>
            <m:ctrlPr>
              <w:rPr>
                <w:rStyle w:val="a4"/>
                <w:rFonts w:ascii="Cambria Math" w:hAnsi="Cambria Math" w:cs="宋体"/>
                <w:b w:val="0"/>
                <w:i/>
                <w:color w:val="0F1115"/>
                <w:sz w:val="28"/>
                <w:szCs w:val="28"/>
                <w:shd w:val="clear" w:color="auto" w:fill="FFFFFF"/>
              </w:rPr>
            </m:ctrlPr>
          </m:sSubPr>
          <m:e>
            <m:r>
              <w:rPr>
                <w:rStyle w:val="a4"/>
                <w:rFonts w:ascii="Cambria Math" w:hAnsi="Cambria Math" w:cs="宋体"/>
                <w:color w:val="0F1115"/>
                <w:sz w:val="28"/>
                <w:szCs w:val="28"/>
                <w:shd w:val="clear" w:color="auto" w:fill="FFFFFF"/>
              </w:rPr>
              <m:t>X</m:t>
            </m:r>
          </m:e>
          <m:sub>
            <m:r>
              <w:rPr>
                <w:rStyle w:val="a4"/>
                <w:rFonts w:ascii="Cambria Math" w:hAnsi="Cambria Math" w:cs="宋体"/>
                <w:color w:val="0F1115"/>
                <w:sz w:val="28"/>
                <w:szCs w:val="28"/>
                <w:shd w:val="clear" w:color="auto" w:fill="FFFFFF"/>
              </w:rPr>
              <m:t>2</m:t>
            </m:r>
          </m:sub>
        </m:sSub>
      </m:oMath>
      <w:r>
        <w:rPr>
          <w:rStyle w:val="a4"/>
          <w:rFonts w:ascii="宋体" w:eastAsia="宋体" w:hAnsi="宋体" w:cs="宋体"/>
          <w:b w:val="0"/>
          <w:color w:val="0F1115"/>
          <w:sz w:val="28"/>
          <w:szCs w:val="28"/>
          <w:shd w:val="clear" w:color="auto" w:fill="FFFFFF"/>
        </w:rPr>
        <w:t>：企业级特征向量。包括：企业规模（Size）、账面市值比（B/M）、事件前 volatility、事件前12个月动量（Momentum）。</w:t>
      </w:r>
    </w:p>
    <w:p w14:paraId="464639C2"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企业与事件的关系：</w:t>
      </w:r>
      <w:commentRangeStart w:id="7"/>
      <w:r>
        <w:rPr>
          <w:rStyle w:val="a4"/>
          <w:rFonts w:ascii="宋体" w:eastAsia="宋体" w:hAnsi="宋体" w:cs="宋体"/>
          <w:b w:val="0"/>
          <w:color w:val="0F1115"/>
          <w:sz w:val="28"/>
          <w:szCs w:val="28"/>
          <w:shd w:val="clear" w:color="auto" w:fill="FFFFFF"/>
        </w:rPr>
        <w:t>虚拟变量，表示该公司在该事件中是“发布者”、“上游”、“下游”还是“竞对”</w:t>
      </w:r>
      <w:commentRangeEnd w:id="7"/>
      <w:r w:rsidR="00290A5E">
        <w:rPr>
          <w:rStyle w:val="a6"/>
          <w:rFonts w:ascii="宋体" w:eastAsia="宋体" w:hAnsi="宋体" w:cs="宋体"/>
          <w:color w:val="0F1115"/>
          <w:sz w:val="28"/>
          <w:szCs w:val="28"/>
          <w:shd w:val="clear" w:color="auto" w:fill="FFFFFF"/>
        </w:rPr>
        <w:commentReference w:id="7"/>
      </w:r>
      <w:r>
        <w:rPr>
          <w:rStyle w:val="a4"/>
          <w:rFonts w:ascii="宋体" w:eastAsia="宋体" w:hAnsi="宋体" w:cs="宋体"/>
          <w:b w:val="0"/>
          <w:color w:val="0F1115"/>
          <w:sz w:val="28"/>
          <w:szCs w:val="28"/>
          <w:shd w:val="clear" w:color="auto" w:fill="FFFFFF"/>
        </w:rPr>
        <w:t>。本研究根据目标公司在AI大模型产业链中的位置，定义其与特定发布模型的关系。具体分为三类：</w:t>
      </w:r>
      <w:r>
        <w:rPr>
          <w:rStyle w:val="a4"/>
          <w:rFonts w:ascii="宋体" w:eastAsia="宋体" w:hAnsi="宋体" w:cs="宋体" w:hint="eastAsia"/>
          <w:b w:val="0"/>
          <w:color w:val="0F1115"/>
          <w:sz w:val="28"/>
          <w:szCs w:val="28"/>
          <w:shd w:val="clear" w:color="auto" w:fill="FFFFFF"/>
        </w:rPr>
        <w:t>a.</w:t>
      </w:r>
      <w:r>
        <w:rPr>
          <w:rStyle w:val="a4"/>
          <w:rFonts w:ascii="宋体" w:eastAsia="宋体" w:hAnsi="宋体" w:cs="宋体"/>
          <w:b w:val="0"/>
          <w:color w:val="0F1115"/>
          <w:sz w:val="28"/>
          <w:szCs w:val="28"/>
          <w:shd w:val="clear" w:color="auto" w:fill="FFFFFF"/>
        </w:rPr>
        <w:t>上游：提供该模型研发与部署所需的核心硬件、软件或算力基础设施的公司；</w:t>
      </w:r>
      <w:r>
        <w:rPr>
          <w:rStyle w:val="a4"/>
          <w:rFonts w:ascii="宋体" w:eastAsia="宋体" w:hAnsi="宋体" w:cs="宋体" w:hint="eastAsia"/>
          <w:b w:val="0"/>
          <w:color w:val="0F1115"/>
          <w:sz w:val="28"/>
          <w:szCs w:val="28"/>
          <w:shd w:val="clear" w:color="auto" w:fill="FFFFFF"/>
        </w:rPr>
        <w:t>b.</w:t>
      </w:r>
      <w:r>
        <w:rPr>
          <w:rStyle w:val="a4"/>
          <w:rFonts w:ascii="宋体" w:eastAsia="宋体" w:hAnsi="宋体" w:cs="宋体"/>
          <w:b w:val="0"/>
          <w:color w:val="0F1115"/>
          <w:sz w:val="28"/>
          <w:szCs w:val="28"/>
          <w:shd w:val="clear" w:color="auto" w:fill="FFFFFF"/>
        </w:rPr>
        <w:t>下游：将该模型的技术或功能集成应用于自身产品与服务中的公司；</w:t>
      </w:r>
      <w:r>
        <w:rPr>
          <w:rStyle w:val="a4"/>
          <w:rFonts w:ascii="宋体" w:eastAsia="宋体" w:hAnsi="宋体" w:cs="宋体" w:hint="eastAsia"/>
          <w:b w:val="0"/>
          <w:color w:val="0F1115"/>
          <w:sz w:val="28"/>
          <w:szCs w:val="28"/>
          <w:shd w:val="clear" w:color="auto" w:fill="FFFFFF"/>
        </w:rPr>
        <w:t>c.</w:t>
      </w:r>
      <w:r>
        <w:rPr>
          <w:rStyle w:val="a4"/>
          <w:rFonts w:ascii="宋体" w:eastAsia="宋体" w:hAnsi="宋体" w:cs="宋体"/>
          <w:b w:val="0"/>
          <w:color w:val="0F1115"/>
          <w:sz w:val="28"/>
          <w:szCs w:val="28"/>
          <w:shd w:val="clear" w:color="auto" w:fill="FFFFFF"/>
        </w:rPr>
        <w:t>竞对：提供与该模型存在直接替代或竞争关系的AI技术或产品的公司</w:t>
      </w:r>
      <w:r>
        <w:rPr>
          <w:rStyle w:val="a4"/>
          <w:rFonts w:ascii="宋体" w:eastAsia="宋体" w:hAnsi="宋体" w:cs="宋体" w:hint="eastAsia"/>
          <w:b w:val="0"/>
          <w:color w:val="0F1115"/>
          <w:sz w:val="28"/>
          <w:szCs w:val="28"/>
          <w:shd w:val="clear" w:color="auto" w:fill="FFFFFF"/>
        </w:rPr>
        <w:t>。</w:t>
      </w:r>
    </w:p>
    <w:p w14:paraId="33CD6644"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（3）</w:t>
      </w:r>
      <w:r>
        <w:rPr>
          <w:rStyle w:val="a4"/>
          <w:rFonts w:ascii="宋体" w:eastAsia="宋体" w:hAnsi="宋体" w:cs="宋体"/>
          <w:b w:val="0"/>
          <w:color w:val="0F1115"/>
          <w:sz w:val="28"/>
          <w:szCs w:val="28"/>
          <w:shd w:val="clear" w:color="auto" w:fill="FFFFFF"/>
        </w:rPr>
        <w:t>固定效应：</w:t>
      </w:r>
    </w:p>
    <w:p w14:paraId="1B167DA5"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m:oMath>
        <m:sSub>
          <m:sSubPr>
            <m:ctrlPr>
              <w:rPr>
                <w:rStyle w:val="a4"/>
                <w:rFonts w:ascii="Cambria Math" w:hAnsi="Cambria Math" w:cs="宋体"/>
                <w:b w:val="0"/>
                <w:i/>
                <w:color w:val="0F1115"/>
                <w:sz w:val="28"/>
                <w:szCs w:val="28"/>
                <w:shd w:val="clear" w:color="auto" w:fill="FFFFFF"/>
              </w:rPr>
            </m:ctrlPr>
          </m:sSubPr>
          <m:e>
            <m:r>
              <m:rPr>
                <m:sty m:val="bi"/>
              </m:rPr>
              <w:rPr>
                <w:rStyle w:val="a4"/>
                <w:rFonts w:ascii="Cambria Math" w:hAnsi="Cambria Math" w:cs="宋体"/>
                <w:color w:val="0F1115"/>
                <w:sz w:val="28"/>
                <w:szCs w:val="28"/>
                <w:shd w:val="clear" w:color="auto" w:fill="FFFFFF"/>
              </w:rPr>
              <m:t>δ</m:t>
            </m:r>
          </m:e>
          <m:sub>
            <m:r>
              <w:rPr>
                <w:rStyle w:val="a4"/>
                <w:rFonts w:ascii="Cambria Math" w:hAnsi="Cambria Math" w:cs="宋体"/>
                <w:color w:val="0F1115"/>
                <w:sz w:val="28"/>
                <w:szCs w:val="28"/>
                <w:shd w:val="clear" w:color="auto" w:fill="FFFFFF"/>
              </w:rPr>
              <m:t>industry(j)</m:t>
            </m:r>
          </m:sub>
        </m:sSub>
      </m:oMath>
      <w:r>
        <w:rPr>
          <w:rStyle w:val="a4"/>
          <w:rFonts w:ascii="宋体" w:eastAsia="宋体" w:hAnsi="宋体" w:cs="宋体"/>
          <w:b w:val="0"/>
          <w:color w:val="0F1115"/>
          <w:sz w:val="28"/>
          <w:szCs w:val="28"/>
          <w:shd w:val="clear" w:color="auto" w:fill="FFFFFF"/>
        </w:rPr>
        <w:t>：行业固定效应。控制所有不随时间变化、但随行业变化的不可观测因素（如AI算力、芯片设计、电力设备等行业的固有差异）。</w:t>
      </w:r>
    </w:p>
    <w:commentRangeStart w:id="8"/>
    <w:p w14:paraId="2A098834"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m:oMath>
        <m:sSub>
          <m:sSubPr>
            <m:ctrlPr>
              <w:rPr>
                <w:rStyle w:val="a4"/>
                <w:rFonts w:ascii="Cambria Math" w:hAnsi="Cambria Math" w:cs="宋体"/>
                <w:b w:val="0"/>
                <w:i/>
                <w:color w:val="0F1115"/>
                <w:sz w:val="28"/>
                <w:szCs w:val="28"/>
                <w:shd w:val="clear" w:color="auto" w:fill="FFFFFF"/>
              </w:rPr>
            </m:ctrlPr>
          </m:sSubPr>
          <m:e>
            <m:r>
              <m:rPr>
                <m:sty m:val="bi"/>
              </m:rPr>
              <w:rPr>
                <w:rStyle w:val="a4"/>
                <w:rFonts w:ascii="Cambria Math" w:hAnsi="Cambria Math" w:cs="宋体"/>
                <w:color w:val="0F1115"/>
                <w:sz w:val="28"/>
                <w:szCs w:val="28"/>
                <w:shd w:val="clear" w:color="auto" w:fill="FFFFFF"/>
              </w:rPr>
              <m:t>γ</m:t>
            </m:r>
          </m:e>
          <m:sub>
            <m:r>
              <w:rPr>
                <w:rStyle w:val="a4"/>
                <w:rFonts w:ascii="Cambria Math" w:hAnsi="Cambria Math" w:cs="宋体"/>
                <w:color w:val="0F1115"/>
                <w:sz w:val="28"/>
                <w:szCs w:val="28"/>
                <w:shd w:val="clear" w:color="auto" w:fill="FFFFFF"/>
              </w:rPr>
              <m:t>quarter(i)</m:t>
            </m:r>
          </m:sub>
        </m:sSub>
      </m:oMath>
      <w:r>
        <w:rPr>
          <w:rStyle w:val="a4"/>
          <w:rFonts w:ascii="宋体" w:eastAsia="宋体" w:hAnsi="宋体" w:cs="宋体"/>
          <w:b w:val="0"/>
          <w:color w:val="0F1115"/>
          <w:sz w:val="28"/>
          <w:szCs w:val="28"/>
          <w:shd w:val="clear" w:color="auto" w:fill="FFFFFF"/>
        </w:rPr>
        <w:t>：季度固定效应。控制所有随宏观时间变化、但不随个体变化的冲击（如宏观政策变化、市场整体情绪周期等）。</w:t>
      </w:r>
      <w:commentRangeEnd w:id="8"/>
      <w:r w:rsidR="00290A5E">
        <w:rPr>
          <w:rStyle w:val="a6"/>
          <w:rFonts w:ascii="宋体" w:eastAsia="宋体" w:hAnsi="宋体" w:cs="宋体"/>
          <w:color w:val="0F1115"/>
          <w:sz w:val="28"/>
          <w:szCs w:val="28"/>
          <w:shd w:val="clear" w:color="auto" w:fill="FFFFFF"/>
        </w:rPr>
        <w:commentReference w:id="8"/>
      </w:r>
    </w:p>
    <w:p w14:paraId="53425695" w14:textId="77777777" w:rsidR="00D810F9" w:rsidRDefault="00000000">
      <w:pPr>
        <w:pStyle w:val="a3"/>
        <w:widowControl/>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lastRenderedPageBreak/>
        <w:t>3.</w:t>
      </w:r>
      <w:r>
        <w:rPr>
          <w:rStyle w:val="a4"/>
          <w:rFonts w:ascii="宋体" w:eastAsia="宋体" w:hAnsi="宋体" w:cs="宋体"/>
          <w:b w:val="0"/>
          <w:color w:val="0F1115"/>
          <w:sz w:val="28"/>
          <w:szCs w:val="28"/>
          <w:shd w:val="clear" w:color="auto" w:fill="FFFFFF"/>
        </w:rPr>
        <w:t>计量问题处理：</w:t>
      </w:r>
    </w:p>
    <w:p w14:paraId="4AEFFFFE"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t>序列相关与异方差：采用在公司层面聚类的聚类标准误，以解决同一公司多次事件可能带来的残差相关问题。</w:t>
      </w:r>
    </w:p>
    <w:p w14:paraId="4BDEF00B"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五、关键步骤与时间规划</w:t>
      </w:r>
    </w:p>
    <w:p w14:paraId="684FB7DC"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 阶段一（1-2月）：理论与数据准备</w:t>
      </w:r>
    </w:p>
    <w:p w14:paraId="13AE5948"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完成LLM发布事件清单的最终构建。</w:t>
      </w:r>
    </w:p>
    <w:p w14:paraId="50ED9FCA"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学习并测试情感分析工具。</w:t>
      </w:r>
    </w:p>
    <w:p w14:paraId="664293DD"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收集所有样本公司股价数据。</w:t>
      </w:r>
    </w:p>
    <w:p w14:paraId="15D90177"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爬取或调用API获取对应事件窗口的新闻报道。</w:t>
      </w:r>
    </w:p>
    <w:p w14:paraId="22A6D614"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运行情感分析模型，生成情感指标数据集。</w:t>
      </w:r>
    </w:p>
    <w:p w14:paraId="3093DEC2"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2.阶段二（3-4月）：数据收集与处理</w:t>
      </w:r>
    </w:p>
    <w:p w14:paraId="7D008531" w14:textId="77777777" w:rsidR="00D810F9" w:rsidRDefault="00000000">
      <w:pPr>
        <w:ind w:firstLineChars="200" w:firstLine="560"/>
        <w:jc w:val="left"/>
      </w:pPr>
      <w:r>
        <w:rPr>
          <w:rStyle w:val="a4"/>
          <w:rFonts w:ascii="宋体" w:eastAsia="宋体" w:hAnsi="宋体" w:cs="宋体" w:hint="eastAsia"/>
          <w:b w:val="0"/>
          <w:color w:val="0F1115"/>
          <w:sz w:val="28"/>
          <w:szCs w:val="28"/>
          <w:shd w:val="clear" w:color="auto" w:fill="FFFFFF"/>
        </w:rPr>
        <w:t>使用 Python 执行事件研究计算CAR。</w:t>
      </w:r>
    </w:p>
    <w:p w14:paraId="042E5F64"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运行双向固定效应面板回归，检验事件特征、企业特征对CAR的影响。</w:t>
      </w:r>
    </w:p>
    <w:p w14:paraId="0C3D25F8"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进行一系列稳健性检验（改变事件窗口、更换市场模型、使用不同情感分析工具、剔除特定样本）。</w:t>
      </w:r>
    </w:p>
    <w:p w14:paraId="4D63861F"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3. 阶段三（5-6月）：论文撰写与修改</w:t>
      </w:r>
    </w:p>
    <w:p w14:paraId="64D850FE"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整合结果，撰写完整论文。</w:t>
      </w:r>
    </w:p>
    <w:p w14:paraId="2472A5FD"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解释研究发现，讨论学术与实践含义，指出局限与未来方向。</w:t>
      </w:r>
    </w:p>
    <w:p w14:paraId="48EC6B07" w14:textId="77777777" w:rsidR="00D810F9" w:rsidRDefault="00000000">
      <w:pPr>
        <w:jc w:val="left"/>
      </w:pPr>
      <w:r>
        <w:rPr>
          <w:rStyle w:val="a4"/>
          <w:rFonts w:ascii="宋体" w:eastAsia="宋体" w:hAnsi="宋体" w:cs="宋体" w:hint="eastAsia"/>
          <w:bCs/>
          <w:color w:val="0F1115"/>
          <w:sz w:val="28"/>
          <w:szCs w:val="28"/>
          <w:shd w:val="clear" w:color="auto" w:fill="FFFFFF"/>
        </w:rPr>
        <w:t>六、 预期的学术贡献与创新点</w:t>
      </w:r>
    </w:p>
    <w:p w14:paraId="3B4F8BFF"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1.方法创新</w:t>
      </w:r>
      <w:r>
        <w:rPr>
          <w:rStyle w:val="a4"/>
          <w:rFonts w:ascii="宋体" w:eastAsia="宋体" w:hAnsi="宋体" w:cs="宋体"/>
          <w:b w:val="0"/>
          <w:color w:val="0F1115"/>
          <w:sz w:val="28"/>
          <w:szCs w:val="28"/>
          <w:shd w:val="clear" w:color="auto" w:fill="FFFFFF"/>
        </w:rPr>
        <w:t>：提出了适用于前沿技术事件筛选的S.A.F.E.准则，弥补了该领域样本选择标准模糊的缺陷，提高了研究的可复制性。</w:t>
      </w:r>
    </w:p>
    <w:p w14:paraId="799DD27E" w14:textId="77777777" w:rsidR="00D810F9" w:rsidRDefault="00000000">
      <w:pPr>
        <w:pStyle w:val="a3"/>
        <w:widowControl/>
        <w:rPr>
          <w:rStyle w:val="a4"/>
          <w:rFonts w:ascii="宋体" w:eastAsia="宋体" w:hAnsi="宋体" w:cs="宋体"/>
          <w:b w:val="0"/>
          <w:color w:val="0F1115"/>
          <w:sz w:val="28"/>
          <w:szCs w:val="28"/>
          <w:shd w:val="clear" w:color="auto" w:fill="FFFFFF"/>
        </w:rPr>
      </w:pPr>
      <w:r>
        <w:rPr>
          <w:rStyle w:val="a4"/>
          <w:rFonts w:ascii="宋体" w:eastAsia="宋体" w:hAnsi="宋体" w:cs="宋体"/>
          <w:b w:val="0"/>
          <w:color w:val="0F1115"/>
          <w:sz w:val="28"/>
          <w:szCs w:val="28"/>
          <w:shd w:val="clear" w:color="auto" w:fill="FFFFFF"/>
        </w:rPr>
        <w:lastRenderedPageBreak/>
        <w:t>数据与视角创新：将媒体情感与模型技术特征（如MMLU得分、开源与否）同时纳入分析框架，系统考察了信息“内容”与“传播”在资产定价中的作用。</w:t>
      </w:r>
    </w:p>
    <w:p w14:paraId="2DF8654C" w14:textId="77777777" w:rsidR="00D810F9" w:rsidRDefault="00000000">
      <w:pPr>
        <w:pStyle w:val="a3"/>
        <w:widowControl/>
        <w:ind w:firstLineChars="200" w:firstLine="560"/>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w:t>
      </w:r>
      <w:r>
        <w:rPr>
          <w:rStyle w:val="a4"/>
          <w:rFonts w:ascii="宋体" w:eastAsia="宋体" w:hAnsi="宋体" w:cs="宋体"/>
          <w:b w:val="0"/>
          <w:color w:val="0F1115"/>
          <w:sz w:val="28"/>
          <w:szCs w:val="28"/>
          <w:shd w:val="clear" w:color="auto" w:fill="FFFFFF"/>
        </w:rPr>
        <w:t>分析深度：构建了双向固定效应面板模型，将分析从“事件-时间”维度拓展至“事件-企业”维度，能够有效识别技术冲击在产业链上的差异化传导机制，打开了“赢家通吃”或“水涨船高”等竞争格局预测的黑箱。</w:t>
      </w:r>
    </w:p>
    <w:p w14:paraId="62999F1B" w14:textId="77777777" w:rsidR="00D810F9" w:rsidRDefault="00000000">
      <w:pPr>
        <w:jc w:val="left"/>
        <w:rPr>
          <w:rStyle w:val="a4"/>
          <w:rFonts w:ascii="宋体" w:eastAsia="宋体" w:hAnsi="宋体" w:cs="宋体"/>
          <w:bCs/>
          <w:color w:val="0F1115"/>
          <w:sz w:val="28"/>
          <w:szCs w:val="28"/>
          <w:shd w:val="clear" w:color="auto" w:fill="FFFFFF"/>
        </w:rPr>
      </w:pPr>
      <w:r>
        <w:rPr>
          <w:rStyle w:val="a4"/>
          <w:rFonts w:ascii="宋体" w:eastAsia="宋体" w:hAnsi="宋体" w:cs="宋体" w:hint="eastAsia"/>
          <w:bCs/>
          <w:color w:val="0F1115"/>
          <w:sz w:val="28"/>
          <w:szCs w:val="28"/>
          <w:shd w:val="clear" w:color="auto" w:fill="FFFFFF"/>
        </w:rPr>
        <w:t>七、 潜在挑战与应对</w:t>
      </w:r>
    </w:p>
    <w:p w14:paraId="7C957A60"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1. 事件日确定：部分模型发布存在多日预热或模糊发布。应对：以首个引起广泛关注的权威媒体报道日为准，并进行敏感性分析。</w:t>
      </w:r>
    </w:p>
    <w:p w14:paraId="167377D5" w14:textId="77777777" w:rsidR="00D810F9" w:rsidRDefault="00000000">
      <w:pPr>
        <w:ind w:firstLineChars="200" w:firstLine="560"/>
        <w:jc w:val="left"/>
        <w:rPr>
          <w:rStyle w:val="a4"/>
          <w:rFonts w:ascii="宋体" w:eastAsia="宋体" w:hAnsi="宋体" w:cs="宋体"/>
          <w:b w:val="0"/>
          <w:color w:val="0F1115"/>
          <w:sz w:val="28"/>
          <w:szCs w:val="28"/>
          <w:shd w:val="clear" w:color="auto" w:fill="FFFFFF"/>
        </w:rPr>
      </w:pPr>
      <w:r>
        <w:rPr>
          <w:rStyle w:val="a4"/>
          <w:rFonts w:ascii="宋体" w:eastAsia="宋体" w:hAnsi="宋体" w:cs="宋体" w:hint="eastAsia"/>
          <w:b w:val="0"/>
          <w:color w:val="0F1115"/>
          <w:sz w:val="28"/>
          <w:szCs w:val="28"/>
          <w:shd w:val="clear" w:color="auto" w:fill="FFFFFF"/>
        </w:rPr>
        <w:t>2. 情感分析准确性：通用模型可能误判技术性描述。应对：考虑人工抽检小样本验证。</w:t>
      </w:r>
    </w:p>
    <w:p w14:paraId="0C8A38A2" w14:textId="115C5E48" w:rsidR="00786596" w:rsidRDefault="00000000" w:rsidP="00290A5E">
      <w:pPr>
        <w:ind w:firstLineChars="200" w:firstLine="560"/>
        <w:jc w:val="left"/>
        <w:rPr>
          <w:rStyle w:val="a4"/>
          <w:rFonts w:ascii="宋体" w:eastAsia="宋体" w:hAnsi="宋体" w:cs="宋体" w:hint="eastAsia"/>
          <w:b w:val="0"/>
          <w:color w:val="0F1115"/>
          <w:sz w:val="28"/>
          <w:szCs w:val="28"/>
          <w:shd w:val="clear" w:color="auto" w:fill="FFFFFF"/>
        </w:rPr>
      </w:pPr>
      <w:commentRangeStart w:id="9"/>
      <w:r>
        <w:rPr>
          <w:rStyle w:val="a4"/>
          <w:rFonts w:ascii="宋体" w:eastAsia="宋体" w:hAnsi="宋体" w:cs="宋体" w:hint="eastAsia"/>
          <w:b w:val="0"/>
          <w:color w:val="0F1115"/>
          <w:sz w:val="28"/>
          <w:szCs w:val="28"/>
          <w:shd w:val="clear" w:color="auto" w:fill="FFFFFF"/>
        </w:rPr>
        <w:t>3. 混淆因素：尽管有筛选，但无法完全排除所有混杂信息。应对：在稳健性检验中剔除高度疑似混杂的样本，并在讨论中承认此局限性。</w:t>
      </w:r>
      <w:commentRangeEnd w:id="9"/>
      <w:r w:rsidR="00290A5E">
        <w:rPr>
          <w:rStyle w:val="a6"/>
          <w:rFonts w:ascii="宋体" w:eastAsia="宋体" w:hAnsi="宋体" w:cs="宋体" w:hint="eastAsia"/>
          <w:color w:val="0F1115"/>
          <w:sz w:val="28"/>
          <w:szCs w:val="28"/>
          <w:shd w:val="clear" w:color="auto" w:fill="FFFFFF"/>
        </w:rPr>
        <w:commentReference w:id="9"/>
      </w:r>
    </w:p>
    <w:sectPr w:rsidR="0078659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uo Chen" w:date="2026-02-27T14:14:00Z" w:initials="ZC">
    <w:p w14:paraId="714F1345" w14:textId="77777777" w:rsidR="00290A5E" w:rsidRDefault="00290A5E" w:rsidP="00290A5E">
      <w:pPr>
        <w:jc w:val="left"/>
      </w:pPr>
      <w:r>
        <w:rPr>
          <w:rStyle w:val="a6"/>
        </w:rPr>
        <w:annotationRef/>
      </w:r>
      <w:r>
        <w:rPr>
          <w:rFonts w:hint="eastAsia"/>
        </w:rPr>
        <w:t>这个</w:t>
      </w:r>
      <w:r>
        <w:t>SAFE</w:t>
      </w:r>
      <w:r>
        <w:rPr>
          <w:rFonts w:hint="eastAsia"/>
        </w:rPr>
        <w:t>的名字是哪来的？</w:t>
      </w:r>
    </w:p>
  </w:comment>
  <w:comment w:id="1" w:author="Zhuo Chen" w:date="2026-02-27T14:15:00Z" w:initials="ZC">
    <w:p w14:paraId="0C99E10C" w14:textId="77777777" w:rsidR="00290A5E" w:rsidRDefault="00290A5E" w:rsidP="00290A5E">
      <w:pPr>
        <w:jc w:val="left"/>
      </w:pPr>
      <w:r>
        <w:rPr>
          <w:rStyle w:val="a6"/>
        </w:rPr>
        <w:annotationRef/>
      </w:r>
      <w:r>
        <w:rPr>
          <w:rFonts w:hint="eastAsia"/>
        </w:rPr>
        <w:t>能不能找到数据，特别是令人信服的数据？</w:t>
      </w:r>
    </w:p>
  </w:comment>
  <w:comment w:id="2" w:author="Zhuo Chen" w:date="2026-02-27T14:16:00Z" w:initials="ZC">
    <w:p w14:paraId="37265077" w14:textId="77777777" w:rsidR="00290A5E" w:rsidRDefault="00290A5E" w:rsidP="00290A5E">
      <w:pPr>
        <w:jc w:val="left"/>
      </w:pPr>
      <w:r>
        <w:rPr>
          <w:rStyle w:val="a6"/>
        </w:rPr>
        <w:annotationRef/>
      </w:r>
      <w:r>
        <w:rPr>
          <w:rFonts w:hint="eastAsia"/>
        </w:rPr>
        <w:t>这个是筛选条件，还是自变量？</w:t>
      </w:r>
    </w:p>
  </w:comment>
  <w:comment w:id="3" w:author="Zhuo Chen" w:date="2026-02-27T14:16:00Z" w:initials="ZC">
    <w:p w14:paraId="1C4B69DF" w14:textId="77777777" w:rsidR="00290A5E" w:rsidRDefault="00290A5E" w:rsidP="00290A5E">
      <w:pPr>
        <w:jc w:val="left"/>
      </w:pPr>
      <w:r>
        <w:rPr>
          <w:rStyle w:val="a6"/>
        </w:rPr>
        <w:annotationRef/>
      </w:r>
      <w:r>
        <w:rPr>
          <w:rFonts w:hint="eastAsia"/>
        </w:rPr>
        <w:t>但是这个还没做，是吗？</w:t>
      </w:r>
    </w:p>
  </w:comment>
  <w:comment w:id="4" w:author="Zhuo Chen" w:date="2026-02-27T14:17:00Z" w:initials="ZC">
    <w:p w14:paraId="3BFE1BAA" w14:textId="77777777" w:rsidR="00290A5E" w:rsidRDefault="00290A5E" w:rsidP="00290A5E">
      <w:pPr>
        <w:jc w:val="left"/>
      </w:pPr>
      <w:r>
        <w:rPr>
          <w:rStyle w:val="a6"/>
        </w:rPr>
        <w:annotationRef/>
      </w:r>
      <w:r>
        <w:rPr>
          <w:rFonts w:hint="eastAsia"/>
        </w:rPr>
        <w:t>事实上现在没有任何“模型上市公司”，上市的都是大厂，不是大厂都没上市。</w:t>
      </w:r>
    </w:p>
  </w:comment>
  <w:comment w:id="5" w:author="Zhuo Chen" w:date="2026-02-27T14:17:00Z" w:initials="ZC">
    <w:p w14:paraId="0A0C2B58" w14:textId="77777777" w:rsidR="00290A5E" w:rsidRDefault="00290A5E" w:rsidP="00290A5E">
      <w:pPr>
        <w:jc w:val="left"/>
      </w:pPr>
      <w:r>
        <w:rPr>
          <w:rStyle w:val="a6"/>
        </w:rPr>
        <w:annotationRef/>
      </w:r>
      <w:r>
        <w:t>Finbert</w:t>
      </w:r>
    </w:p>
  </w:comment>
  <w:comment w:id="6" w:author="Zhuo Chen" w:date="2026-02-27T14:18:00Z" w:initials="ZC">
    <w:p w14:paraId="16EAC30D" w14:textId="77777777" w:rsidR="00290A5E" w:rsidRDefault="00290A5E" w:rsidP="00290A5E">
      <w:pPr>
        <w:jc w:val="left"/>
      </w:pPr>
      <w:r>
        <w:rPr>
          <w:rStyle w:val="a6"/>
        </w:rPr>
        <w:annotationRef/>
      </w:r>
      <w:r>
        <w:rPr>
          <w:rFonts w:hint="eastAsia"/>
        </w:rPr>
        <w:t>内生性？？？？</w:t>
      </w:r>
    </w:p>
  </w:comment>
  <w:comment w:id="7" w:author="Zhuo Chen" w:date="2026-02-27T14:18:00Z" w:initials="ZC">
    <w:p w14:paraId="1967D2F0" w14:textId="77777777" w:rsidR="00290A5E" w:rsidRDefault="00290A5E" w:rsidP="00290A5E">
      <w:pPr>
        <w:jc w:val="left"/>
      </w:pPr>
      <w:r>
        <w:rPr>
          <w:rStyle w:val="a6"/>
        </w:rPr>
        <w:annotationRef/>
      </w:r>
      <w:r>
        <w:rPr>
          <w:rFonts w:hint="eastAsia"/>
        </w:rPr>
        <w:t>不容易处理？</w:t>
      </w:r>
    </w:p>
  </w:comment>
  <w:comment w:id="8" w:author="Zhuo Chen" w:date="2026-02-27T14:19:00Z" w:initials="ZC">
    <w:p w14:paraId="1B2579E8" w14:textId="77777777" w:rsidR="00290A5E" w:rsidRDefault="00290A5E" w:rsidP="00290A5E">
      <w:pPr>
        <w:jc w:val="left"/>
      </w:pPr>
      <w:r>
        <w:rPr>
          <w:rStyle w:val="a6"/>
        </w:rPr>
        <w:annotationRef/>
      </w:r>
      <w:r>
        <w:rPr>
          <w:rFonts w:hint="eastAsia"/>
        </w:rPr>
        <w:t>事件固定效应？</w:t>
      </w:r>
    </w:p>
  </w:comment>
  <w:comment w:id="9" w:author="Zhuo Chen" w:date="2026-02-27T14:19:00Z" w:initials="ZC">
    <w:p w14:paraId="4D155769" w14:textId="77777777" w:rsidR="00290A5E" w:rsidRDefault="00290A5E" w:rsidP="00290A5E">
      <w:pPr>
        <w:jc w:val="left"/>
      </w:pPr>
      <w:r>
        <w:rPr>
          <w:rStyle w:val="a6"/>
        </w:rPr>
        <w:annotationRef/>
      </w:r>
      <w:r>
        <w:t>Poly market?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4F1345" w15:done="0"/>
  <w15:commentEx w15:paraId="0C99E10C" w15:done="0"/>
  <w15:commentEx w15:paraId="37265077" w15:done="0"/>
  <w15:commentEx w15:paraId="1C4B69DF" w15:done="0"/>
  <w15:commentEx w15:paraId="3BFE1BAA" w15:done="0"/>
  <w15:commentEx w15:paraId="0A0C2B58" w15:done="0"/>
  <w15:commentEx w15:paraId="16EAC30D" w15:done="0"/>
  <w15:commentEx w15:paraId="1967D2F0" w15:done="0"/>
  <w15:commentEx w15:paraId="1B2579E8" w15:done="0"/>
  <w15:commentEx w15:paraId="4D1557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FAB3FA" w16cex:dateUtc="2026-02-27T06:14:00Z"/>
  <w16cex:commentExtensible w16cex:durableId="25B0BFB6" w16cex:dateUtc="2026-02-27T06:15:00Z"/>
  <w16cex:commentExtensible w16cex:durableId="48E6E155" w16cex:dateUtc="2026-02-27T06:16:00Z"/>
  <w16cex:commentExtensible w16cex:durableId="02109E38" w16cex:dateUtc="2026-02-27T06:16:00Z"/>
  <w16cex:commentExtensible w16cex:durableId="53F15FE9" w16cex:dateUtc="2026-02-27T06:17:00Z"/>
  <w16cex:commentExtensible w16cex:durableId="7A25D2B4" w16cex:dateUtc="2026-02-27T06:17:00Z"/>
  <w16cex:commentExtensible w16cex:durableId="6FE4A338" w16cex:dateUtc="2026-02-27T06:18:00Z"/>
  <w16cex:commentExtensible w16cex:durableId="4236E89B" w16cex:dateUtc="2026-02-27T06:18:00Z"/>
  <w16cex:commentExtensible w16cex:durableId="33479675" w16cex:dateUtc="2026-02-27T06:19:00Z"/>
  <w16cex:commentExtensible w16cex:durableId="01D70A00" w16cex:dateUtc="2026-02-27T06: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4F1345" w16cid:durableId="6DFAB3FA"/>
  <w16cid:commentId w16cid:paraId="0C99E10C" w16cid:durableId="25B0BFB6"/>
  <w16cid:commentId w16cid:paraId="37265077" w16cid:durableId="48E6E155"/>
  <w16cid:commentId w16cid:paraId="1C4B69DF" w16cid:durableId="02109E38"/>
  <w16cid:commentId w16cid:paraId="3BFE1BAA" w16cid:durableId="53F15FE9"/>
  <w16cid:commentId w16cid:paraId="0A0C2B58" w16cid:durableId="7A25D2B4"/>
  <w16cid:commentId w16cid:paraId="16EAC30D" w16cid:durableId="6FE4A338"/>
  <w16cid:commentId w16cid:paraId="1967D2F0" w16cid:durableId="4236E89B"/>
  <w16cid:commentId w16cid:paraId="1B2579E8" w16cid:durableId="33479675"/>
  <w16cid:commentId w16cid:paraId="4D155769" w16cid:durableId="01D70A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8DA0B8A"/>
    <w:multiLevelType w:val="singleLevel"/>
    <w:tmpl w:val="C8DA0B8A"/>
    <w:lvl w:ilvl="0">
      <w:start w:val="1"/>
      <w:numFmt w:val="decimal"/>
      <w:lvlText w:val="%1."/>
      <w:lvlJc w:val="left"/>
      <w:pPr>
        <w:tabs>
          <w:tab w:val="left" w:pos="312"/>
        </w:tabs>
      </w:pPr>
    </w:lvl>
  </w:abstractNum>
  <w:num w:numId="1" w16cid:durableId="12171602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uo Chen">
    <w15:presenceInfo w15:providerId="Windows Live" w15:userId="c2e7e110757f9b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SystemFonts/>
  <w:bordersDoNotSurroundHeader/>
  <w:bordersDoNotSurroundFooter/>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F9"/>
    <w:rsid w:val="00290A5E"/>
    <w:rsid w:val="0049792B"/>
    <w:rsid w:val="006F12F0"/>
    <w:rsid w:val="00786596"/>
    <w:rsid w:val="00BB56F3"/>
    <w:rsid w:val="00D810F9"/>
    <w:rsid w:val="1332191F"/>
    <w:rsid w:val="19162CDC"/>
    <w:rsid w:val="2C703E76"/>
    <w:rsid w:val="33F702EF"/>
    <w:rsid w:val="3EE97785"/>
    <w:rsid w:val="44FF683E"/>
    <w:rsid w:val="5D531525"/>
    <w:rsid w:val="611A6C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6ECE28"/>
  <w15:docId w15:val="{3E271A60-C8C2-8E4F-90C9-3B22D3146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rPr>
      <w:sz w:val="24"/>
    </w:rPr>
  </w:style>
  <w:style w:type="character" w:styleId="a4">
    <w:name w:val="Strong"/>
    <w:basedOn w:val="a0"/>
    <w:qFormat/>
    <w:rPr>
      <w:b/>
    </w:rPr>
  </w:style>
  <w:style w:type="character" w:styleId="a5">
    <w:name w:val="Emphasis"/>
    <w:basedOn w:val="a0"/>
    <w:qFormat/>
    <w:rPr>
      <w:i/>
    </w:rPr>
  </w:style>
  <w:style w:type="character" w:styleId="a6">
    <w:name w:val="annotation reference"/>
    <w:basedOn w:val="a0"/>
    <w:rsid w:val="006F12F0"/>
    <w:rPr>
      <w:sz w:val="21"/>
      <w:szCs w:val="21"/>
    </w:rPr>
  </w:style>
  <w:style w:type="paragraph" w:styleId="a7">
    <w:name w:val="annotation text"/>
    <w:basedOn w:val="a"/>
    <w:link w:val="a8"/>
    <w:rsid w:val="006F12F0"/>
    <w:pPr>
      <w:jc w:val="left"/>
    </w:pPr>
  </w:style>
  <w:style w:type="character" w:customStyle="1" w:styleId="a8">
    <w:name w:val="批注文字 字符"/>
    <w:basedOn w:val="a0"/>
    <w:link w:val="a7"/>
    <w:rsid w:val="006F12F0"/>
    <w:rPr>
      <w:rFonts w:asciiTheme="minorHAnsi" w:eastAsiaTheme="minorEastAsia" w:hAnsiTheme="minorHAnsi" w:cstheme="minorBidi"/>
      <w:kern w:val="2"/>
      <w:sz w:val="21"/>
      <w:szCs w:val="24"/>
    </w:rPr>
  </w:style>
  <w:style w:type="paragraph" w:styleId="a9">
    <w:name w:val="annotation subject"/>
    <w:basedOn w:val="a7"/>
    <w:next w:val="a7"/>
    <w:link w:val="aa"/>
    <w:rsid w:val="006F12F0"/>
    <w:rPr>
      <w:b/>
      <w:bCs/>
    </w:rPr>
  </w:style>
  <w:style w:type="character" w:customStyle="1" w:styleId="aa">
    <w:name w:val="批注主题 字符"/>
    <w:basedOn w:val="a8"/>
    <w:link w:val="a9"/>
    <w:rsid w:val="006F12F0"/>
    <w:rPr>
      <w:rFonts w:asciiTheme="minorHAnsi" w:eastAsiaTheme="minorEastAsia" w:hAnsiTheme="minorHAnsi" w:cstheme="minorBidi"/>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s://cn.investing.com/equities/rakuten-inc-financial-summary" TargetMode="External"/><Relationship Id="rId4" Type="http://schemas.openxmlformats.org/officeDocument/2006/relationships/webSettings" Target="webSettings.xml"/><Relationship Id="rId9" Type="http://schemas.openxmlformats.org/officeDocument/2006/relationships/hyperlink" Target="https://cn.investing.com/equities/rakuten-inc-balance-shee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10</Pages>
  <Words>807</Words>
  <Characters>4603</Characters>
  <Application>Microsoft Office Word</Application>
  <DocSecurity>0</DocSecurity>
  <Lines>38</Lines>
  <Paragraphs>10</Paragraphs>
  <ScaleCrop>false</ScaleCrop>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86176</dc:creator>
  <cp:lastModifiedBy>Zhuo Chen</cp:lastModifiedBy>
  <cp:revision>3</cp:revision>
  <dcterms:created xsi:type="dcterms:W3CDTF">2026-02-27T04:41:00Z</dcterms:created>
  <dcterms:modified xsi:type="dcterms:W3CDTF">2026-02-27T06:19:00Z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eyJoZGlkIjoiYmQ3NjQxYmZmN2ZkODIxYWNiNTEzMzQyMTZmNzQ1MmMiLCJ1c2VySWQiOiIxNzM5NzY2MDQ0In0=</vt:lpwstr>
  </property>
  <property fmtid="{D5CDD505-2E9C-101B-9397-08002B2CF9AE}" pid="4" name="ICV">
    <vt:lpwstr>FF0E126C4ABB43B5AC226AD97181A48C_13</vt:lpwstr>
  </property>
</Properties>
</file>