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D5FC">
      <w:pPr>
        <w:spacing w:line="240" w:lineRule="auto"/>
        <w:jc w:val="center"/>
        <w:rPr>
          <w:rStyle w:val="8"/>
          <w:rFonts w:hint="default" w:ascii="黑体" w:hAnsi="黑体" w:eastAsia="黑体" w:cs="黑体"/>
          <w:b w:val="0"/>
          <w:bCs w:val="0"/>
          <w:i w:val="0"/>
          <w:iCs w:val="0"/>
          <w:caps w:val="0"/>
          <w:color w:val="auto"/>
          <w:spacing w:val="0"/>
          <w:sz w:val="32"/>
          <w:szCs w:val="32"/>
          <w:shd w:val="clear" w:fill="FFFFFF"/>
          <w:lang w:val="en-US" w:eastAsia="zh-CN"/>
        </w:rPr>
      </w:pPr>
      <w:r>
        <w:rPr>
          <w:rStyle w:val="8"/>
          <w:rFonts w:hint="eastAsia" w:ascii="黑体" w:hAnsi="黑体" w:eastAsia="黑体" w:cs="黑体"/>
          <w:b w:val="0"/>
          <w:bCs w:val="0"/>
          <w:i w:val="0"/>
          <w:iCs w:val="0"/>
          <w:caps w:val="0"/>
          <w:color w:val="auto"/>
          <w:spacing w:val="0"/>
          <w:sz w:val="32"/>
          <w:szCs w:val="32"/>
          <w:shd w:val="clear" w:fill="FFFFFF"/>
          <w:lang w:val="en-US" w:eastAsia="zh-CN"/>
        </w:rPr>
        <w:t>生成式AI革新对设AI公司股价的影响--基于大语言模型和媒体情感的融合分析</w:t>
      </w:r>
    </w:p>
    <w:p w14:paraId="6F16556F">
      <w:p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rPr>
        <w:t xml:space="preserve">、 </w:t>
      </w:r>
      <w:r>
        <w:rPr>
          <w:rStyle w:val="8"/>
          <w:rFonts w:hint="eastAsia" w:ascii="宋体" w:hAnsi="宋体" w:eastAsia="宋体" w:cs="宋体"/>
          <w:b/>
          <w:bCs/>
          <w:i w:val="0"/>
          <w:iCs w:val="0"/>
          <w:caps w:val="0"/>
          <w:color w:val="auto"/>
          <w:spacing w:val="0"/>
          <w:sz w:val="28"/>
          <w:szCs w:val="28"/>
          <w:shd w:val="clear" w:fill="FFFFFF"/>
          <w:lang w:val="en-US" w:eastAsia="zh-CN"/>
        </w:rPr>
        <w:t>引言</w:t>
      </w:r>
    </w:p>
    <w:p w14:paraId="53E67246">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研究</w:t>
      </w:r>
      <w:r>
        <w:rPr>
          <w:rStyle w:val="8"/>
          <w:rFonts w:hint="eastAsia" w:ascii="宋体" w:hAnsi="宋体" w:eastAsia="宋体" w:cs="宋体"/>
          <w:b/>
          <w:bCs/>
          <w:i w:val="0"/>
          <w:iCs w:val="0"/>
          <w:caps w:val="0"/>
          <w:color w:val="auto"/>
          <w:spacing w:val="0"/>
          <w:sz w:val="28"/>
          <w:szCs w:val="28"/>
          <w:shd w:val="clear" w:fill="FFFFFF"/>
        </w:rPr>
        <w:t>背景</w:t>
      </w:r>
    </w:p>
    <w:p w14:paraId="4C52F5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以 ChatGPT 为代表的生成式人工智能技术浪潮，正以前所未有的速度重塑全球科技与产业格局。大语言模型作为其核心基础设施，已成为科技巨头战略竞争与资本开支的焦点。每一次重大的 LLM 发布不仅是技术里程碑，更是向市场传递关于公司技术实力、未来盈利潜力与战略方向的关键信号。</w:t>
      </w:r>
    </w:p>
    <w:p w14:paraId="03A37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截至 2024 年 4 月，全球头部 AI 企业已完成数百次 LLM 模型迭代与产品发布，形成了覆盖模型技术特征、企业基本面、资本市场反应、媒体信息传播的全维度事件生态。本研究基于 2022 年 11 月 ChatGPT 首次发布以来，覆盖全球主要 LLM 发布主体的公司级全维度观测数据，系统探究 LLM 发布事件对 AI 产业链上市公司股价的影响机制，填补现有研究在大规模事件样本、全维度特征分析上的空白。</w:t>
      </w:r>
    </w:p>
    <w:p w14:paraId="760BE4BE">
      <w:pPr>
        <w:numPr>
          <w:ilvl w:val="0"/>
          <w:numId w:val="0"/>
        </w:num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（二）研究问题</w:t>
      </w:r>
    </w:p>
    <w:p w14:paraId="2B6A67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·市场反应的存在性与度量：重大 LLM 发布事件是否导致 AI 产业链相关公司（发布方、上游算力、下游应用、直接竞争对手）产生显著的累计异常收益率（CAR）？不同事件窗口下，市场反应的时效性、持续性与反转效应呈现何种特征？</w:t>
      </w:r>
    </w:p>
    <w:p w14:paraId="17A900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·市场反应的异质性来源：（1）何时反应更强？哪些事件特征（如模型权威基准评测表现、开源与否、多模态能力、是否为模型家族系列发布、发布主体国别）会增强或削弱市场反应？（2）何时反应为正 / 为负？哪些企业特征（如规模、账面市值比、前期波动率、与发布者的产业链关系、行业板块）导致不同公司在同一事件中表现出截然不同的股价走势？（3）信息渠道的作用机制：媒体在事件窗口期的报道情感（均值与分歧度）对累计异常收益率（CAR）存在何种影响？这一影响在不同产业链角色、不同类型事件中是否存在显著差异？ 简言之，本研究不仅检验 “是否产生影响”，更旨在基于全维度事件级数据，打开 “技术特征→媒体情感→股价反应” 的微观传导黑箱。</w:t>
      </w:r>
    </w:p>
    <w:p w14:paraId="2C8934AF">
      <w:pPr>
        <w:numPr>
          <w:ilvl w:val="0"/>
          <w:numId w:val="0"/>
        </w:num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 xml:space="preserve">   </w:t>
      </w:r>
      <w:r>
        <w:rPr>
          <w:rStyle w:val="8"/>
          <w:rFonts w:hint="eastAsia" w:ascii="宋体" w:hAnsi="宋体" w:eastAsia="宋体" w:cs="宋体"/>
          <w:b/>
          <w:bCs/>
          <w:i w:val="0"/>
          <w:iCs w:val="0"/>
          <w:caps w:val="0"/>
          <w:color w:val="auto"/>
          <w:spacing w:val="0"/>
          <w:sz w:val="28"/>
          <w:szCs w:val="28"/>
          <w:shd w:val="clear" w:fill="FFFFFF"/>
          <w:lang w:val="en-US" w:eastAsia="zh-CN"/>
        </w:rPr>
        <w:t>（三）研究假设</w:t>
      </w:r>
    </w:p>
    <w:p w14:paraId="57A0D2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基于有效市场假说、行为金融学与金融情感分析领域的核心结论，结合本研究已有的全维度 LLM 发布事件集数据特征，提出 2 组核心假设：</w:t>
      </w:r>
    </w:p>
    <w:p w14:paraId="0C41A1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H1：市场反应存在性与产业链异质性假设 重大 LLM 发布事件会使 AI 产业链相关公司在事件窗口期内产生显著的累计异常收益率（CAR）；其中，模型发布方正向 CAR 最为显著，上游算力企业的正向 CAR 次之，直接竞争对手的 CAR 显著为负或不显著，下游应用企业的 CAR 呈现异质性分化。</w:t>
      </w:r>
    </w:p>
    <w:p w14:paraId="2BFB5B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H2：媒体情感的传导机制假设 H2a：事件窗口期内，媒体报道的正面情感均值对相关公司 CAR 具有显著正向提升效应，负面情感均值对 CAR 具有显著负向抑制效应；且负面情感的边际影响强度高于正面情感（非对称效应）。 H2b：事件窗口期内，媒体情感分歧度（标准差）会显著削弱 CAR 的统计显著性，即对正向 CAR 存在抑制作用，对负向 CAR 存在放大作用。 H2c：媒体情感的影响存在产业链异质性，即媒体情感对发布方、上游算力企业 CAR 的影响强度显著高于下游应用企业与竞争对手。</w:t>
      </w:r>
    </w:p>
    <w:p w14:paraId="3FF5E3B5">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rPr>
        <w:t>、 研究目标与意义</w:t>
      </w:r>
    </w:p>
    <w:p w14:paraId="248F8A4C">
      <w:pPr>
        <w:spacing w:line="240" w:lineRule="auto"/>
        <w:jc w:val="left"/>
        <w:rPr>
          <w:b/>
          <w:bCs/>
          <w:color w:val="auto"/>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研究目标</w:t>
      </w:r>
    </w:p>
    <w:p w14:paraId="748DA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核心目标：基于已构建的 2022-2024 年全球重大 LLM 发布事件全维度数据集，量化评估重大 LLM 发布事件对 AI 产业链上市公司股价的短期与中期影响，验证市场反应的存在性与异质性。</w:t>
      </w:r>
    </w:p>
    <w:p w14:paraId="4EB682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关键目标：基于事件集数据已有的事件特征、企业特征、市场反应、媒体情感四大维度字段，通过面板回归模型识别影响累计异常收益率（CAR）的关键因素，厘清 AI 产业链中 “赢家” 与 “输家” 的分化机制。</w:t>
      </w:r>
    </w:p>
    <w:p w14:paraId="41230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机制目标：通过实证分析，拆解 “技术特征→媒体情感→股价反应” 的微观传导路径，明确 LLM 发布事件影响资本市场的核心作用渠道，以及不同产业链环节的传导差异。</w:t>
      </w:r>
    </w:p>
    <w:p w14:paraId="04EEBC1F">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研究意义</w:t>
      </w:r>
    </w:p>
    <w:p w14:paraId="0135E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理论意义： </w:t>
      </w:r>
    </w:p>
    <w:p w14:paraId="65CB53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（1）对 LLM 技术金融重要性及方法论的补充：本研究聚焦大语言模型（LLM）技术事件，而非泛化的人工智能发布，原因在于 LLM 具备通用目的技术（GPT）特征与高资本壁垒，其发布行为是密集的估值信号。同时，本研究基于 5000 + 条全维度事件 - 公司级数据，首次将模型技术特征、媒体情感全维度指标、产业链角色划分、多窗口期市场反应数据同时纳入统一分析框架，填补了现有研究在大规模事件样本、全维度特征分析上的空白。 </w:t>
      </w:r>
    </w:p>
    <w:p w14:paraId="15F803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（2）对事件研究法的方法补充：针对 LLM 技术事件的特殊性，基于已构建的大规模事件集数据，优化了标准化的 S.A.F.E. 样本筛选框架，解决了现有 AI 技术事件资本市场研究中样本筛选标准不统一、研究结论不可复制的痛点，为后续前沿技术创新的事件研究提供了可复用的方法范式。 </w:t>
      </w:r>
    </w:p>
    <w:p w14:paraId="5688B0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3）对媒体情感与资产定价研究的场景深化：融合金融领域预训练模型与大语言模型情感分析方法，基于事件集数据已有的多窗口期媒体情感指标，突破了传统词典法在技术文本情感识别中的局限性，厘清了技术事件中媒体情感的 “信号传递作用” 与 “分歧放大作用”，丰富了 “新闻文本 - 资产定价” 领域的技术路径与经验证据。 </w:t>
      </w:r>
    </w:p>
    <w:p w14:paraId="18755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（4）对产业链传导理论的经验补充：现有研究多聚焦 LLM 发布方股价的单一视角，本研究基于事件集数据的产业链角色划分，系统检验了技术事件在 AI 发布方、上游算力、下游应用、竞争对手间的异质性传导路径，打开了技术创新冲击在资本市场的产业链扩散黑箱，为技术创新的资本市场传导理论提供了 AI 产业的微观证据。</w:t>
      </w:r>
    </w:p>
    <w:p w14:paraId="2E7C2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实践意义： </w:t>
      </w:r>
    </w:p>
    <w:p w14:paraId="4881F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（1）对投资者的决策价值：为机构与个人投资者提供了 LLM 技术事件驱动的量化交易策略、产业链资产配置与风险对冲的实证依据，明确了不同类型 LLM 发布事件中，产业链各环节的超额收益获取窗口与风险点，帮助投资者更精准地捕捉 AI 技术浪潮中的资本市场机会。 </w:t>
      </w:r>
    </w:p>
    <w:p w14:paraId="214C9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（2）对科技企业的管理价值：为 AI 科技企业的技术发布策略、投资者关系管理与信息披露提供了决策参考，厘清了模型开源 / 闭源、技术突破程度、多模态能力等事件特征对资本市场反馈的影响，帮助企业理解技术创新的资本市场定价逻辑，优化技术发布的节奏与信息传递方式。 </w:t>
      </w:r>
    </w:p>
    <w:p w14:paraId="32F25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（3）对监管层的政策价值：为资本市场监管部门评估 AI 技术创新对市场波动的影响、防范科技题材炒作带来的市场风险、完善科技企业信息披露规则提供了经验证据，有助于监管层更精准地制定针对前沿技术事件的市场监管政策，维护资本市场的稳定与定价效率。</w:t>
      </w:r>
    </w:p>
    <w:p w14:paraId="190ACF34">
      <w:pPr>
        <w:spacing w:line="240" w:lineRule="auto"/>
        <w:jc w:val="left"/>
        <w:rPr>
          <w:color w:val="auto"/>
        </w:rPr>
      </w:pPr>
      <w:r>
        <w:rPr>
          <w:rStyle w:val="8"/>
          <w:rFonts w:hint="eastAsia" w:ascii="宋体" w:hAnsi="宋体" w:eastAsia="宋体" w:cs="宋体"/>
          <w:b/>
          <w:bCs/>
          <w:i w:val="0"/>
          <w:iCs w:val="0"/>
          <w:caps w:val="0"/>
          <w:color w:val="auto"/>
          <w:spacing w:val="0"/>
          <w:sz w:val="28"/>
          <w:szCs w:val="28"/>
          <w:shd w:val="clear" w:fill="FFFFFF"/>
          <w:lang w:val="en-US" w:eastAsia="zh-CN"/>
        </w:rPr>
        <w:t>三</w:t>
      </w:r>
      <w:r>
        <w:rPr>
          <w:rStyle w:val="8"/>
          <w:rFonts w:hint="eastAsia" w:ascii="宋体" w:hAnsi="宋体" w:eastAsia="宋体" w:cs="宋体"/>
          <w:b/>
          <w:bCs/>
          <w:i w:val="0"/>
          <w:iCs w:val="0"/>
          <w:caps w:val="0"/>
          <w:color w:val="auto"/>
          <w:spacing w:val="0"/>
          <w:sz w:val="28"/>
          <w:szCs w:val="28"/>
          <w:shd w:val="clear" w:fill="FFFFFF"/>
        </w:rPr>
        <w:t>、 文献综述</w:t>
      </w:r>
    </w:p>
    <w:p w14:paraId="03CCA2C4">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事件研究法在科技企业新产品发布中的应用</w:t>
      </w:r>
    </w:p>
    <w:p w14:paraId="6D9EF803">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回顾现有文献如何利用事件研究法分析新产品、新技术的发布对股价的短期冲击，总结其研究设计与主要发现。特别关注文献中关于事件窗口期选择、以及如何控制事件前股价趋势以解决内生性问题的成熟做法。</w:t>
      </w:r>
    </w:p>
    <w:p w14:paraId="7E4EB43E">
      <w:pPr>
        <w:numPr>
          <w:ilvl w:val="0"/>
          <w:numId w:val="0"/>
        </w:numPr>
        <w:spacing w:line="240" w:lineRule="auto"/>
        <w:jc w:val="left"/>
        <w:rPr>
          <w:rStyle w:val="8"/>
          <w:rFonts w:hint="default" w:ascii="宋体" w:hAnsi="宋体" w:eastAsia="宋体" w:cs="宋体"/>
          <w:b/>
          <w:bCs/>
          <w:i w:val="0"/>
          <w:iCs w:val="0"/>
          <w:caps w:val="0"/>
          <w:color w:val="auto"/>
          <w:spacing w:val="0"/>
          <w:sz w:val="28"/>
          <w:szCs w:val="28"/>
          <w:shd w:val="clear" w:fill="FFFFFF"/>
        </w:rPr>
      </w:pPr>
      <w:r>
        <w:rPr>
          <w:rFonts w:hint="eastAsia" w:ascii="宋体" w:hAnsi="宋体" w:eastAsia="宋体" w:cs="宋体"/>
          <w:b/>
          <w:bCs/>
          <w:i w:val="0"/>
          <w:iCs w:val="0"/>
          <w:caps w:val="0"/>
          <w:color w:val="auto"/>
          <w:spacing w:val="0"/>
          <w:kern w:val="2"/>
          <w:sz w:val="28"/>
          <w:szCs w:val="28"/>
          <w:shd w:val="clear" w:fill="FFFFFF"/>
          <w:lang w:val="en-US" w:eastAsia="zh-CN" w:bidi="ar-SA"/>
        </w:rPr>
        <w:t>（二）</w:t>
      </w:r>
      <w:r>
        <w:rPr>
          <w:rStyle w:val="8"/>
          <w:rFonts w:hint="default" w:ascii="宋体" w:hAnsi="宋体" w:eastAsia="宋体" w:cs="宋体"/>
          <w:b/>
          <w:bCs/>
          <w:i w:val="0"/>
          <w:iCs w:val="0"/>
          <w:caps w:val="0"/>
          <w:color w:val="auto"/>
          <w:spacing w:val="0"/>
          <w:sz w:val="28"/>
          <w:szCs w:val="28"/>
          <w:shd w:val="clear" w:fill="FFFFFF"/>
        </w:rPr>
        <w:t>情感分析在金融学中的应用</w:t>
      </w:r>
    </w:p>
    <w:p w14:paraId="07C25CE5">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梳理从词典法到深度学习的情感分析方法演进，重点关注意见情感如何被用于解释资产价格波动与交易量变化。鉴于传统词典法（如VADER）在金融文本分析中的局限性，本部分将重点综述FinBERT等金融领域预训练模型的应用与优势。</w:t>
      </w:r>
    </w:p>
    <w:p w14:paraId="67D555A0">
      <w:pPr>
        <w:numPr>
          <w:ilvl w:val="0"/>
          <w:numId w:val="0"/>
        </w:numPr>
        <w:spacing w:line="240" w:lineRule="auto"/>
        <w:jc w:val="left"/>
        <w:rPr>
          <w:rFonts w:hint="eastAsia" w:ascii="宋体" w:hAnsi="宋体" w:eastAsia="宋体" w:cs="宋体"/>
          <w:b/>
          <w:bCs/>
          <w:i w:val="0"/>
          <w:iCs w:val="0"/>
          <w:caps w:val="0"/>
          <w:color w:val="auto"/>
          <w:spacing w:val="0"/>
          <w:kern w:val="2"/>
          <w:sz w:val="28"/>
          <w:szCs w:val="28"/>
          <w:shd w:val="clear" w:fill="FFFFFF"/>
          <w:lang w:val="en-US" w:eastAsia="zh-CN" w:bidi="ar-SA"/>
        </w:rPr>
      </w:pPr>
      <w:r>
        <w:rPr>
          <w:rFonts w:hint="eastAsia" w:ascii="宋体" w:hAnsi="宋体" w:eastAsia="宋体" w:cs="宋体"/>
          <w:b/>
          <w:bCs/>
          <w:i w:val="0"/>
          <w:iCs w:val="0"/>
          <w:caps w:val="0"/>
          <w:color w:val="auto"/>
          <w:spacing w:val="0"/>
          <w:kern w:val="2"/>
          <w:sz w:val="28"/>
          <w:szCs w:val="28"/>
          <w:shd w:val="clear" w:fill="FFFFFF"/>
          <w:lang w:val="en-US" w:eastAsia="zh-CN" w:bidi="ar-SA"/>
        </w:rPr>
        <w:t>（三）重大事件发布对异常收益率的影响</w:t>
      </w:r>
    </w:p>
    <w:p w14:paraId="667D9B84">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rPr>
        <w:t>事件研究法在资本市场中的应用已相当成熟，尤其在重大产品发布、技术突破、监管决策等场景。MacKinlay（1997）系统总结了事件研究的方法论框架，指出累计异常收益率（CAR）的显著性取决于事件信息的“新颖性”与“未预期程度”。就科技企业而言，Chan et al.（2001）发现，研发支出与专利授权公告会产生显著的正向 CAR，且这一效应在高成长性企业中更为突出。然而，针对 AI 领域的重大发布事件（如 AlphaGo 战胜李世石、GPT-3 发布等），现有研究多将其归入“广义技术创新”事件，缺乏对 LLM 这类具有强基础设施属性事件的专门检验。近期少量研究（如 Erel &amp; Lie，2023 预印本）开始关注 ChatGPT 发布对教育科技股的冲击，但仍停留在单一事件分析，未形成系统的事件面板数据框架。本研究立足于这一缺口，将 2022–2025 年间数十次重大 LLM 发布作为重复性事件样本，系统检验其 CAR 的异质性来源。</w:t>
      </w:r>
    </w:p>
    <w:p w14:paraId="043235ED">
      <w:pPr>
        <w:numPr>
          <w:ilvl w:val="0"/>
          <w:numId w:val="0"/>
        </w:numPr>
        <w:spacing w:line="240" w:lineRule="auto"/>
        <w:jc w:val="left"/>
        <w:rPr>
          <w:rFonts w:hint="eastAsia" w:ascii="宋体" w:hAnsi="宋体" w:eastAsia="宋体" w:cs="宋体"/>
          <w:b/>
          <w:bCs/>
          <w:i w:val="0"/>
          <w:iCs w:val="0"/>
          <w:caps w:val="0"/>
          <w:color w:val="auto"/>
          <w:spacing w:val="0"/>
          <w:kern w:val="2"/>
          <w:sz w:val="28"/>
          <w:szCs w:val="28"/>
          <w:shd w:val="clear" w:fill="FFFFFF"/>
          <w:lang w:val="en-US" w:eastAsia="zh-CN" w:bidi="ar-SA"/>
        </w:rPr>
      </w:pPr>
      <w:r>
        <w:rPr>
          <w:rFonts w:hint="eastAsia" w:ascii="宋体" w:hAnsi="宋体" w:eastAsia="宋体" w:cs="宋体"/>
          <w:b/>
          <w:bCs/>
          <w:i w:val="0"/>
          <w:iCs w:val="0"/>
          <w:caps w:val="0"/>
          <w:color w:val="auto"/>
          <w:spacing w:val="0"/>
          <w:kern w:val="2"/>
          <w:sz w:val="28"/>
          <w:szCs w:val="28"/>
          <w:shd w:val="clear" w:fill="FFFFFF"/>
          <w:lang w:val="en-US" w:eastAsia="zh-CN" w:bidi="ar-SA"/>
        </w:rPr>
        <w:t>（五）文献评述与研究缺口</w:t>
      </w:r>
    </w:p>
    <w:p w14:paraId="3BAD2CFB">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lang w:val="en-US" w:eastAsia="zh-CN"/>
        </w:rPr>
        <w:t>现有研究的核心缺口：</w:t>
      </w:r>
    </w:p>
    <w:p w14:paraId="38D2B474">
      <w:pPr>
        <w:numPr>
          <w:ilvl w:val="0"/>
          <w:numId w:val="1"/>
        </w:numPr>
        <w:spacing w:line="240" w:lineRule="auto"/>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 xml:space="preserve">研究视角的缺口：产业链层面的异质性反应尚未被系统考察。现有研究多聚焦于发布方股价的显著性检验，将技术事件视为对发布公司的单一冲击，忽略了技术冲击沿产业链的纵向传导与横向竞争效应。具体而言，大模型发布不仅影响发布方自身，还会通过算力需求传导至上游基础设施供应商（如芯片、数据中心），通过功能集成影响下游应用企业，并通过市场竞争格局重塑影响直接竞争对手。缺乏对这一产业链关联的系统分析，使得现有研究无法区分技术冲击的 “溢出效应” 与 “竞争效应”，也难以准确评估 AI 技术创新的价值分配格局。从产业组织（IO）视角看，这构成一个重要的研究盲区。 </w:t>
      </w:r>
    </w:p>
    <w:p w14:paraId="000AD924">
      <w:pPr>
        <w:numPr>
          <w:ilvl w:val="0"/>
          <w:numId w:val="1"/>
        </w:numPr>
        <w:spacing w:line="240" w:lineRule="auto"/>
        <w:ind w:left="0" w:leftChars="0" w:firstLine="0" w:firstLineChars="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 xml:space="preserve">机制识别的缺口：较少研究对技术事件的技术特征效应与媒体信息效应进行系统区分。现有研究大多仅检验事件本身的市场反应，未深入拆解 “事件本身的技术特征” 与 “媒体对事件的信息传播” 这两个核心渠道对股价的差异化影响，无法回答 “市场反应究竟是来自技术本身的价值，还是来自媒体的信息传播” 这一核心问题。 </w:t>
      </w:r>
    </w:p>
    <w:p w14:paraId="5594AA7C">
      <w:pPr>
        <w:numPr>
          <w:ilvl w:val="0"/>
          <w:numId w:val="0"/>
        </w:numPr>
        <w:spacing w:line="240" w:lineRule="auto"/>
        <w:ind w:leftChars="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lang w:val="en-US" w:eastAsia="zh-CN"/>
        </w:rPr>
        <w:t>（3）研究方法的缺口：该领域事件研究缺乏统一、可复制的样本筛选标准，且现有研究多为小样本、单事件分析，缺乏大规模、全维度事件面板数据的系统检验，导致不同研究结论可比性差。</w:t>
      </w:r>
    </w:p>
    <w:p w14:paraId="56E1E79B">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lang w:val="en-US" w:eastAsia="zh-CN"/>
        </w:rPr>
        <w:t>针对上述缺口，本研究基于已构建的全维度 LLM 发布事件 - 公司面板数据，逐一回应： （1）针对产业链异质性反应缺失的缺口：本研究基于事件集数据已有的产业链角色划分，将样本公司按产业链角色划分为发布方、上游算力、下游应用、竞争对手，系统检验 LLM 发布事件对产业链上不同位置企业的差异化股价冲击。通过引入产业链角色虚拟变量及其与核心解释变量的交互项，本研究能够有效识别技术冲击的 “溢出效应”（对上下游的影响）与 “竞争效应”（对竞争对手的影响），从而揭示 AI 技术创新的价值分配格局，填补现有研究在产业组织视角上的盲区。 （2）针对技术特征效应与媒体信息效应未能有效分离的缺口：本研究在技术事件研究中同时引入事件技术特征与媒体情感双核心指标。其中，事件技术特征代表模型本身的技术价值与基本面信号，媒体情感代表新闻报道对事件的信息传播与情绪引导。通过将两者同时纳入回归模型，本研究能够有效区分 “技术本身的价值” 与 “媒体的信息传播” 对资产价格的差异化影响，从而打开市场反应的微观传导机制黑箱。 （3）针对样本筛选标准缺乏统一性、大规模全维度数据缺失的缺口：本研究基于已构建的大规模事件集数据，优化了 S.A.F.E. 筛选框架，从主体明确（Specific Subject）、影响重大（Agenda Impact）、市场关注（Focused Attention）、事件纯净（Event Purity）四个维度，对 LLM 技术事件的纳入与排除标准进行明确定义。该框架既遵循经典事件研究法的方法论原则，又结合了大语言模型领域的技术发布特点，为后续研究提供了可复制、可检验的样本筛选范式；同时，本研究的 5161 条全维度事件 - 公司级数据，覆盖了事件特征、企业特征、市场反应、媒体情感四大维度 106 个字段，有效解决了现有研究小样本、维度单一的痛点，大幅提升了研究结论的可靠性与普适性。</w:t>
      </w:r>
    </w:p>
    <w:p w14:paraId="745D1B00">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lang w:val="en-US" w:eastAsia="zh-CN"/>
        </w:rPr>
        <w:t>通过上述三方面设计，本研究系统回应了现有文献的核心缺口，为理解 AI 技术冲击的资本市场反应提供了更为完整、精细的分析框架。</w:t>
      </w:r>
    </w:p>
    <w:p w14:paraId="103389A6">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四</w:t>
      </w:r>
      <w:r>
        <w:rPr>
          <w:rStyle w:val="8"/>
          <w:rFonts w:hint="eastAsia" w:ascii="宋体" w:hAnsi="宋体" w:eastAsia="宋体" w:cs="宋体"/>
          <w:b/>
          <w:bCs/>
          <w:i w:val="0"/>
          <w:iCs w:val="0"/>
          <w:caps w:val="0"/>
          <w:color w:val="auto"/>
          <w:spacing w:val="0"/>
          <w:sz w:val="28"/>
          <w:szCs w:val="28"/>
          <w:shd w:val="clear" w:fill="FFFFFF"/>
        </w:rPr>
        <w:t>、 研究方法</w:t>
      </w:r>
    </w:p>
    <w:p w14:paraId="52650B39">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事件选择与样本构建</w:t>
      </w:r>
    </w:p>
    <w:p w14:paraId="37E10511">
      <w:pPr>
        <w:pStyle w:val="5"/>
        <w:keepNext w:val="0"/>
        <w:keepLines w:val="0"/>
        <w:widowControl/>
        <w:suppressLineNumbers w:val="0"/>
        <w:spacing w:before="0" w:beforeAutospacing="0" w:after="0" w:afterAutospacing="0"/>
        <w:ind w:left="0"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为确保样本的纯净性与研究目标的契合度，本研究在经典事件研究法关于样本构建的方法论原则基础上 ，结合大语言模型领域技术发布的特点，设计了以下S.A.F.E.筛选框架。该框架中的“混淆事件排除”原则直接对应事件研究法中关键的“混淆事件搜索（Confounding Event Search）”步骤 ，其余准则则是对“事件需具有足够影响力”和“信息需到达市场”等通用原则的操作化定义。</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Wood, L.C. (2022). Developing a sample: Strategies and considerations. In Applied Guide for Event Study Research in Supply Chain Management, IGI Global.</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2F1AB210">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S - Specific Subject (主体明确)：发布主体须为明确界定的美股七大 AI 巨头（微软、谷歌、Meta、英伟达、亚马逊、苹果、AMD），发布行为须为主体官方发布，控股子公司发布需主体官方背书，排除第三方非官方发布。</w:t>
      </w:r>
    </w:p>
    <w:p w14:paraId="3307DEA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A - Agenda Impact (影响重大)：满足以下至少两项：</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a.</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技术突破：在公认权威评测基准上取得显著性能提升或刷新SOTA；</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b.</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产品形态：以可公开访问的API、重要产品集成或开源重量级模型的形式发布。</w:t>
      </w:r>
    </w:p>
    <w:p w14:paraId="0FEADE8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F - Focused Attention (市场关注)：事件被至少两家全球主流财经或科技媒体（如彭博、路透、TechCrunch）专门报道，确保信息已到达公众市场。</w:t>
      </w:r>
    </w:p>
    <w:p w14:paraId="19F08A60">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E - Event Purity (焦点纯粹)：事件窗口期内，样本公司无其他可能主导股价变动的重大事件，以降低混淆事件干扰。窗口期 [-5,+5] 内，样本公司出现财报发布、并购重组、高管变动、大额融资/分红、监管处罚、行业重大政策发布等任一事件，即</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把该交易日</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从样本中剔除</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30DC25BC">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2.事件日、</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事件窗口与估计窗口：</w:t>
      </w:r>
    </w:p>
    <w:p w14:paraId="0BE38FFA">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 xml:space="preserve">    事件日：</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本研究以模型官方发布日为基准事件日T</w:t>
      </w:r>
      <w:r>
        <w:rPr>
          <w:rStyle w:val="8"/>
          <w:rFonts w:hint="default" w:ascii="宋体" w:hAnsi="宋体" w:eastAsia="宋体" w:cs="宋体"/>
          <w:b w:val="0"/>
          <w:bCs w:val="0"/>
          <w:i w:val="0"/>
          <w:iCs w:val="0"/>
          <w:caps w:val="0"/>
          <w:color w:val="auto"/>
          <w:spacing w:val="0"/>
          <w:kern w:val="2"/>
          <w:sz w:val="28"/>
          <w:szCs w:val="28"/>
          <w:shd w:val="clear" w:fill="FFFFFF"/>
          <w:vertAlign w:val="subscript"/>
          <w:lang w:val="en-US" w:eastAsia="zh-CN" w:bidi="ar-SA"/>
        </w:rPr>
        <w:t>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若官方发布日为美股非交易日，则顺延至下一个交易日；若发布前存在权威媒体提前爆料、信息泄露导致股价提前反应的情况，以首个引发市场显著异动的权威媒体报道日为事件日，并同步进行敏感性分析验证。</w:t>
      </w:r>
    </w:p>
    <w:p w14:paraId="48146D7B">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事件窗口：考虑到美股市场的半强式有效特征，信息传播与市场反应高效，将主事件窗口设定为事件日前后各 1 个交易日，即 [-1, +1]。稳健性检验采用 [-2, +2]、[-3, +3] 窗口，长窗口 [-10, +10]、[-20, +20] 仅用于股价反转效应分析，不用于主回归。</w:t>
      </w:r>
    </w:p>
    <w:p w14:paraId="2F9FB67C">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估计窗口：采用事件日前 [-200, -10] 个交易日作为清洁期，用于估计定价模型参数；若估计窗口内个股出现连续停牌≥10 天、重大事件冲击等情况，剔除该类异常交易日，确保估计窗口内有效交易日≥120 天，避免参数估计偏误。</w:t>
      </w:r>
    </w:p>
    <w:p w14:paraId="3DF56A63">
      <w:pPr>
        <w:pStyle w:val="5"/>
        <w:keepNext w:val="0"/>
        <w:keepLines w:val="0"/>
        <w:widowControl/>
        <w:suppressLineNumbers w:val="0"/>
        <w:spacing w:before="0" w:beforeAutospacing="0" w:after="0" w:afterAutospacing="0"/>
        <w:ind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排除标准：对不符合上述标准或数据严重缺失的事件予以剔除。</w:t>
      </w:r>
    </w:p>
    <w:p w14:paraId="0052E18E">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数据来源</w:t>
      </w:r>
    </w:p>
    <w:p w14:paraId="343F8E89">
      <w:pPr>
        <w:spacing w:line="240" w:lineRule="auto"/>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rPr>
        <w:t>股价与市场数据</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58D8C2F3">
      <w:pPr>
        <w:spacing w:line="240" w:lineRule="auto"/>
        <w:ind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美股上市公司的日度股价、收益率、市值数据来自雅虎财经（Yahoo Finance）、CRSP 数据库，财务数据来自 Compustat 数据库；若样本包含中概股，补充 Wind 数据库作为辅助数据源。</w:t>
      </w:r>
    </w:p>
    <w:p w14:paraId="4055B58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2.</w:t>
      </w:r>
      <w:r>
        <w:rPr>
          <w:rStyle w:val="8"/>
          <w:rFonts w:hint="eastAsia" w:ascii="宋体" w:hAnsi="宋体" w:eastAsia="宋体" w:cs="宋体"/>
          <w:b w:val="0"/>
          <w:bCs w:val="0"/>
          <w:i w:val="0"/>
          <w:iCs w:val="0"/>
          <w:caps w:val="0"/>
          <w:color w:val="auto"/>
          <w:spacing w:val="0"/>
          <w:sz w:val="28"/>
          <w:szCs w:val="28"/>
          <w:shd w:val="clear" w:fill="FFFFFF"/>
        </w:rPr>
        <w:t>事件数据：</w:t>
      </w:r>
    </w:p>
    <w:p w14:paraId="17F8E56F">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样本事件：</w:t>
      </w:r>
      <w:r>
        <w:rPr>
          <w:rStyle w:val="8"/>
          <w:rFonts w:hint="eastAsia" w:ascii="宋体" w:hAnsi="宋体" w:eastAsia="宋体" w:cs="宋体"/>
          <w:b w:val="0"/>
          <w:bCs w:val="0"/>
          <w:i w:val="0"/>
          <w:iCs w:val="0"/>
          <w:caps w:val="0"/>
          <w:color w:val="auto"/>
          <w:spacing w:val="0"/>
          <w:sz w:val="28"/>
          <w:szCs w:val="28"/>
          <w:shd w:val="clear" w:fill="FFFFFF"/>
        </w:rPr>
        <w:t>本研究的样本事件为 2022 年 11 月（ChatGPT 首次发布）至 2025 年 12 月，由美股上市公司（含其控股子公司）发布的重大 LLM 产品 / 模型，</w:t>
      </w:r>
      <w:r>
        <w:rPr>
          <w:rStyle w:val="8"/>
          <w:rFonts w:hint="eastAsia" w:ascii="宋体" w:hAnsi="宋体" w:eastAsia="宋体" w:cs="宋体"/>
          <w:b w:val="0"/>
          <w:bCs w:val="0"/>
          <w:i w:val="0"/>
          <w:iCs w:val="0"/>
          <w:caps w:val="0"/>
          <w:color w:val="auto"/>
          <w:spacing w:val="0"/>
          <w:sz w:val="28"/>
          <w:szCs w:val="28"/>
          <w:shd w:val="clear" w:fill="FFFFFF"/>
          <w:lang w:val="en-US" w:eastAsia="zh-CN"/>
        </w:rPr>
        <w:t>进行事件筛选</w:t>
      </w:r>
      <w:r>
        <w:rPr>
          <w:rStyle w:val="8"/>
          <w:rFonts w:hint="eastAsia" w:ascii="宋体" w:hAnsi="宋体" w:eastAsia="宋体" w:cs="宋体"/>
          <w:b w:val="0"/>
          <w:bCs w:val="0"/>
          <w:i w:val="0"/>
          <w:iCs w:val="0"/>
          <w:caps w:val="0"/>
          <w:color w:val="auto"/>
          <w:spacing w:val="0"/>
          <w:sz w:val="28"/>
          <w:szCs w:val="28"/>
          <w:shd w:val="clear" w:fill="FFFFFF"/>
        </w:rPr>
        <w:t>。</w:t>
      </w:r>
    </w:p>
    <w:p w14:paraId="19D0E3E4">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sz w:val="28"/>
          <w:szCs w:val="28"/>
          <w:shd w:val="clear" w:fill="FFFFFF"/>
          <w:lang w:val="en-US" w:eastAsia="zh-CN"/>
        </w:rPr>
        <w:t>事件特征：包括模型在MMLU等权威基准上的得分（能力）、是否开源、是否多模态、发布主体国籍。</w:t>
      </w:r>
    </w:p>
    <w:p w14:paraId="62B3F3E3">
      <w:pPr>
        <w:numPr>
          <w:ilvl w:val="0"/>
          <w:numId w:val="0"/>
        </w:num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sz w:val="28"/>
          <w:szCs w:val="28"/>
          <w:shd w:val="clear" w:fill="FFFFFF"/>
          <w:lang w:val="en-US" w:eastAsia="zh-CN"/>
        </w:rPr>
        <w:t>企业特征：收集事件发生前最新年报的数据，包括</w:t>
      </w:r>
      <w:r>
        <w:rPr>
          <w:rStyle w:val="8"/>
          <w:rFonts w:hint="eastAsia" w:ascii="宋体" w:hAnsi="宋体" w:eastAsia="宋体" w:cs="宋体"/>
          <w:b w:val="0"/>
          <w:bCs w:val="0"/>
          <w:i w:val="0"/>
          <w:iCs w:val="0"/>
          <w:caps w:val="0"/>
          <w:color w:val="auto"/>
          <w:spacing w:val="0"/>
          <w:sz w:val="28"/>
          <w:szCs w:val="28"/>
          <w:shd w:val="clear" w:fill="FFFFFF"/>
          <w:lang w:val="en-US" w:eastAsia="zh-CN"/>
        </w:rPr>
        <w:t>：</w:t>
      </w:r>
    </w:p>
    <w:p w14:paraId="7456D3E7">
      <w:pPr>
        <w:spacing w:line="240" w:lineRule="auto"/>
        <w:ind w:firstLine="280" w:firstLineChars="1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·size：</w:t>
      </w:r>
      <w:r>
        <w:rPr>
          <w:rStyle w:val="8"/>
          <w:rFonts w:hint="default" w:ascii="宋体" w:hAnsi="宋体" w:eastAsia="宋体" w:cs="宋体"/>
          <w:b w:val="0"/>
          <w:bCs w:val="0"/>
          <w:i w:val="0"/>
          <w:iCs w:val="0"/>
          <w:caps w:val="0"/>
          <w:color w:val="auto"/>
          <w:spacing w:val="0"/>
          <w:sz w:val="28"/>
          <w:szCs w:val="28"/>
          <w:shd w:val="clear" w:fill="FFFFFF"/>
          <w:lang w:val="en-US" w:eastAsia="zh-CN"/>
        </w:rPr>
        <w:t>考虑到 AI 企业研发投入形成的技术资产对企业规模的影响，本研究采用总资产取自然对数衡量企业规模</w:t>
      </w:r>
      <w:r>
        <w:rPr>
          <w:rStyle w:val="8"/>
          <w:rFonts w:hint="eastAsia" w:ascii="宋体" w:hAnsi="宋体" w:eastAsia="宋体" w:cs="宋体"/>
          <w:b w:val="0"/>
          <w:bCs w:val="0"/>
          <w:i w:val="0"/>
          <w:iCs w:val="0"/>
          <w:caps w:val="0"/>
          <w:color w:val="auto"/>
          <w:spacing w:val="0"/>
          <w:sz w:val="28"/>
          <w:szCs w:val="28"/>
          <w:shd w:val="clear" w:fill="FFFFFF"/>
          <w:lang w:val="en-US" w:eastAsia="zh-CN"/>
        </w:rPr>
        <w:t>。因为公司多国混合，获取所有公司的总资产按当时的汇率统一折算为单位亿美元(USD)，然后再取对数。</w:t>
      </w:r>
    </w:p>
    <w:p w14:paraId="5713FD93">
      <w:pPr>
        <w:keepNext w:val="0"/>
        <w:keepLines w:val="0"/>
        <w:widowControl/>
        <w:numPr>
          <w:ilvl w:val="0"/>
          <w:numId w:val="0"/>
        </w:numPr>
        <w:suppressLineNumbers w:val="0"/>
        <w:spacing w:before="0" w:beforeAutospacing="1" w:after="0" w:afterAutospacing="1"/>
        <w:ind w:left="-360" w:leftChars="0" w:firstLine="560" w:firstLineChars="200"/>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·账面市值比（B/M）：</w:t>
      </w:r>
    </w:p>
    <w:p w14:paraId="5097E98C">
      <w:pPr>
        <w:keepNext w:val="0"/>
        <w:keepLines w:val="0"/>
        <w:widowControl/>
        <w:numPr>
          <w:ilvl w:val="0"/>
          <w:numId w:val="0"/>
        </w:numPr>
        <w:suppressLineNumbers w:val="0"/>
        <w:spacing w:before="0" w:beforeAutospacing="1" w:after="0" w:afterAutospacing="1"/>
        <w:ind w:left="-360" w:leftChars="0"/>
        <w:rPr>
          <w:rStyle w:val="8"/>
          <w:rFonts w:hint="default" w:ascii="宋体" w:hAnsi="宋体" w:eastAsia="宋体" w:cs="宋体"/>
          <w:b w:val="0"/>
          <w:bCs w:val="0"/>
          <w:i w:val="0"/>
          <w:iCs w:val="0"/>
          <w:caps w:val="0"/>
          <w:color w:val="auto"/>
          <w:spacing w:val="0"/>
          <w:sz w:val="28"/>
          <w:szCs w:val="28"/>
          <w:shd w:val="clear" w:fill="FFFFFF"/>
          <w:lang w:val="en-US" w:eastAsia="zh-CN"/>
        </w:rPr>
      </w:pPr>
      <m:oMathPara>
        <m:oMath>
          <m:r>
            <m:rPr/>
            <w:rPr>
              <w:rFonts w:hint="eastAsia" w:ascii="Cambria Math" w:hAnsi="Cambria Math" w:eastAsia="宋体" w:cs="宋体"/>
              <w:caps w:val="0"/>
              <w:color w:val="auto"/>
              <w:spacing w:val="0"/>
              <w:kern w:val="2"/>
              <w:sz w:val="28"/>
              <w:szCs w:val="28"/>
              <w:shd w:val="clear" w:fill="FFFFFF"/>
              <w:lang w:val="en-US" w:eastAsia="zh-CN" w:bidi="ar-SA"/>
            </w:rPr>
            <m:t>BM</m:t>
          </m:r>
          <m:r>
            <m:rPr/>
            <w:rPr>
              <w:rFonts w:hint="default" w:ascii="Cambria Math" w:hAnsi="Cambria Math" w:eastAsia="宋体" w:cs="宋体"/>
              <w:caps w:val="0"/>
              <w:color w:val="auto"/>
              <w:spacing w:val="0"/>
              <w:kern w:val="2"/>
              <w:sz w:val="28"/>
              <w:szCs w:val="28"/>
              <w:shd w:val="clear" w:fill="FFFFFF"/>
              <w:lang w:val="en-US" w:eastAsia="zh-CN" w:bidi="ar-SA"/>
            </w:rPr>
            <m:t xml:space="preserve"> </m:t>
          </m:r>
          <m:r>
            <m:rPr/>
            <w:rPr>
              <w:rFonts w:hint="eastAsia" w:ascii="Cambria Math" w:hAnsi="Cambria Math" w:eastAsia="宋体" w:cs="宋体"/>
              <w:caps w:val="0"/>
              <w:color w:val="auto"/>
              <w:spacing w:val="0"/>
              <w:kern w:val="2"/>
              <w:sz w:val="28"/>
              <w:szCs w:val="28"/>
              <w:shd w:val="clear" w:fill="FFFFFF"/>
              <w:lang w:val="en-US" w:eastAsia="zh-CN" w:bidi="ar-SA"/>
            </w:rPr>
            <m:t>Ratio</m:t>
          </m:r>
          <m:r>
            <m:rPr/>
            <w:rPr>
              <w:rFonts w:hint="default" w:ascii="Cambria Math" w:hAnsi="Cambria Math" w:eastAsia="宋体" w:cs="宋体"/>
              <w:caps w:val="0"/>
              <w:color w:val="auto"/>
              <w:spacing w:val="0"/>
              <w:kern w:val="2"/>
              <w:sz w:val="28"/>
              <w:szCs w:val="28"/>
              <w:shd w:val="clear" w:fill="FFFFFF"/>
              <w:lang w:val="en-US" w:eastAsia="zh-CN" w:bidi="ar-SA"/>
            </w:rPr>
            <m:t>=</m:t>
          </m:r>
          <m:f>
            <m:fP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fPr>
            <m:num>
              <m:r>
                <m:rPr>
                  <m:sty m:val="p"/>
                </m:rPr>
                <w:rPr>
                  <w:rFonts w:hint="eastAsia" w:ascii="Cambria Math" w:hAnsi="Cambria Math" w:eastAsia="宋体" w:cs="宋体"/>
                  <w:caps w:val="0"/>
                  <w:color w:val="auto"/>
                  <w:spacing w:val="0"/>
                  <w:kern w:val="2"/>
                  <w:sz w:val="28"/>
                  <w:szCs w:val="28"/>
                  <w:shd w:val="clear" w:fill="FFFFFF"/>
                  <w:lang w:val="en-US" w:eastAsia="zh-CN" w:bidi="ar-SA"/>
                </w:rPr>
                <m:t>账面价值</m:t>
              </m: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num>
            <m:den>
              <m:r>
                <m:rPr>
                  <m:sty m:val="p"/>
                </m:rPr>
                <w:rPr>
                  <w:rFonts w:hint="eastAsia" w:ascii="Cambria Math" w:hAnsi="Cambria Math" w:eastAsia="宋体" w:cs="宋体"/>
                  <w:caps w:val="0"/>
                  <w:color w:val="auto"/>
                  <w:spacing w:val="0"/>
                  <w:kern w:val="2"/>
                  <w:sz w:val="28"/>
                  <w:szCs w:val="28"/>
                  <w:shd w:val="clear" w:fill="FFFFFF"/>
                  <w:lang w:val="en-US" w:eastAsia="zh-CN" w:bidi="ar-SA"/>
                </w:rPr>
                <m:t>市值</m:t>
              </m: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den>
          </m:f>
        </m:oMath>
      </m:oMathPara>
    </w:p>
    <w:p w14:paraId="78E5C819">
      <w:pPr>
        <w:ind w:firstLine="560" w:firstLineChars="200"/>
        <w:rPr>
          <w:color w:val="auto"/>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账面价值</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股东权益（或净资产）</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；市值</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 股价×总股本</w:t>
      </w:r>
      <w:r>
        <w:rPr>
          <w:rStyle w:val="8"/>
          <w:rFonts w:hint="eastAsia" w:ascii="宋体" w:hAnsi="宋体" w:eastAsia="宋体" w:cs="宋体"/>
          <w:b w:val="0"/>
          <w:bCs w:val="0"/>
          <w:i w:val="0"/>
          <w:iCs w:val="0"/>
          <w:caps w:val="0"/>
          <w:color w:val="auto"/>
          <w:spacing w:val="0"/>
          <w:sz w:val="28"/>
          <w:szCs w:val="28"/>
          <w:shd w:val="clear" w:fill="FFFFFF"/>
          <w:lang w:val="en-US" w:eastAsia="zh-CN"/>
        </w:rPr>
        <w:t>；数据源自各财年年报（截至各年12月31日），从“资产负债表”中获取“股东权益合计”，从“行情表”中获取“市值”，原始单位不统一</w: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begin"/>
      </w:r>
      <w:r>
        <w:rPr>
          <w:rStyle w:val="8"/>
          <w:rFonts w:hint="default" w:ascii="宋体" w:hAnsi="宋体" w:eastAsia="宋体" w:cs="宋体"/>
          <w:b w:val="0"/>
          <w:bCs w:val="0"/>
          <w:i w:val="0"/>
          <w:iCs w:val="0"/>
          <w:caps w:val="0"/>
          <w:color w:val="auto"/>
          <w:spacing w:val="0"/>
          <w:sz w:val="28"/>
          <w:szCs w:val="28"/>
          <w:shd w:val="clear" w:fill="FFFFFF"/>
          <w:lang w:val="en-US" w:eastAsia="zh-CN"/>
        </w:rPr>
        <w:instrText xml:space="preserve"> HYPERLINK "https://cn.investing.com/equities/rakuten-inc-balance-sheet" \t "https://chat.deepseek.com/a/chat/s/_blank" </w:instrTex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separate"/>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end"/>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begin"/>
      </w:r>
      <w:r>
        <w:rPr>
          <w:rStyle w:val="8"/>
          <w:rFonts w:hint="default" w:ascii="宋体" w:hAnsi="宋体" w:eastAsia="宋体" w:cs="宋体"/>
          <w:b w:val="0"/>
          <w:bCs w:val="0"/>
          <w:i w:val="0"/>
          <w:iCs w:val="0"/>
          <w:caps w:val="0"/>
          <w:color w:val="auto"/>
          <w:spacing w:val="0"/>
          <w:sz w:val="28"/>
          <w:szCs w:val="28"/>
          <w:shd w:val="clear" w:fill="FFFFFF"/>
          <w:lang w:val="en-US" w:eastAsia="zh-CN"/>
        </w:rPr>
        <w:instrText xml:space="preserve"> HYPERLINK "https://cn.investing.com/equities/rakuten-inc-financial-summary" \t "https://chat.deepseek.com/a/chat/s/_blank" </w:instrTex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separate"/>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end"/>
      </w:r>
      <w:r>
        <w:rPr>
          <w:rStyle w:val="8"/>
          <w:rFonts w:hint="default" w:ascii="宋体" w:hAnsi="宋体" w:eastAsia="宋体" w:cs="宋体"/>
          <w:b w:val="0"/>
          <w:bCs w:val="0"/>
          <w:i w:val="0"/>
          <w:iCs w:val="0"/>
          <w:caps w:val="0"/>
          <w:color w:val="auto"/>
          <w:spacing w:val="0"/>
          <w:sz w:val="28"/>
          <w:szCs w:val="28"/>
          <w:shd w:val="clear" w:fill="FFFFFF"/>
          <w:lang w:val="en-US" w:eastAsia="zh-CN"/>
        </w:rPr>
        <w:t>。美元折算数据基于各年12月31日附近的汇率估算</w:t>
      </w:r>
      <w:r>
        <w:rPr>
          <w:rStyle w:val="8"/>
          <w:rFonts w:hint="eastAsia" w:ascii="宋体" w:hAnsi="宋体" w:eastAsia="宋体" w:cs="宋体"/>
          <w:b w:val="0"/>
          <w:bCs w:val="0"/>
          <w:i w:val="0"/>
          <w:iCs w:val="0"/>
          <w:caps w:val="0"/>
          <w:color w:val="auto"/>
          <w:spacing w:val="0"/>
          <w:sz w:val="28"/>
          <w:szCs w:val="28"/>
          <w:shd w:val="clear" w:fill="FFFFFF"/>
          <w:lang w:val="en-US" w:eastAsia="zh-CN"/>
        </w:rPr>
        <w:t>。</w:t>
      </w:r>
    </w:p>
    <w:p w14:paraId="7CD64788">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·动量（Momentum） :Carhart(1997)在其经典的四因子模型中，将动量效应加入定价模型。他指出，计算动量时应使用过去 12个月的收益，但要剔除最近的一个月，因为短期内存在“收益反转效应(Short-term Reversal)</w:t>
      </w:r>
    </w:p>
    <w:p w14:paraId="71D40DA9">
      <w:pPr>
        <w:spacing w:line="240" w:lineRule="auto"/>
        <w:jc w:val="left"/>
        <w:rPr>
          <w:rStyle w:val="8"/>
          <w:rFonts w:hint="default" w:ascii="宋体" w:hAnsi="宋体" w:eastAsia="宋体" w:cs="宋体"/>
          <w:b w:val="0"/>
          <w:bCs w:val="0"/>
          <w:i w:val="0"/>
          <w:iCs w:val="0"/>
          <w:caps w:val="0"/>
          <w:color w:val="auto"/>
          <w:spacing w:val="0"/>
          <w:sz w:val="28"/>
          <w:szCs w:val="28"/>
          <w:shd w:val="clear" w:fill="FFFFFF"/>
          <w:lang w:val="en-US" w:eastAsia="zh-CN"/>
        </w:rPr>
      </w:pPr>
      <m:oMathPara>
        <m:oMath>
          <m:r>
            <m:rPr>
              <m:sty m:val="p"/>
            </m:rPr>
            <w:rPr>
              <w:rStyle w:val="8"/>
              <w:rFonts w:hint="eastAsia" w:ascii="Cambria Math" w:hAnsi="Cambria Math" w:eastAsia="宋体" w:cs="宋体"/>
              <w:caps w:val="0"/>
              <w:color w:val="auto"/>
              <w:spacing w:val="0"/>
              <w:sz w:val="28"/>
              <w:szCs w:val="28"/>
              <w:shd w:val="clear" w:fill="FFFFFF"/>
              <w:lang w:val="en-US" w:eastAsia="zh-CN"/>
            </w:rPr>
            <m:t>Momentum</m:t>
          </m:r>
          <m:r>
            <m:rPr>
              <m:sty m:val="p"/>
            </m:rPr>
            <w:rPr>
              <w:rStyle w:val="8"/>
              <w:rFonts w:hint="default" w:ascii="Cambria Math" w:hAnsi="Cambria Math" w:eastAsia="宋体" w:cs="宋体"/>
              <w:caps w:val="0"/>
              <w:color w:val="auto"/>
              <w:spacing w:val="0"/>
              <w:sz w:val="28"/>
              <w:szCs w:val="28"/>
              <w:shd w:val="clear" w:fill="FFFFFF"/>
              <w:lang w:val="en-US" w:eastAsia="zh-CN"/>
            </w:rPr>
            <m:t>=</m:t>
          </m:r>
          <m:f>
            <m:fPr>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fPr>
            <m:num>
              <m:sSub>
                <m:sSubP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SubPr>
                <m:e>
                  <m:r>
                    <m:rPr>
                      <m:sty m:val="p"/>
                    </m:rPr>
                    <w:rPr>
                      <w:rStyle w:val="8"/>
                      <w:rFonts w:hint="default" w:ascii="Cambria Math" w:hAnsi="Cambria Math" w:eastAsia="宋体" w:cs="宋体"/>
                      <w:caps w:val="0"/>
                      <w:color w:val="auto"/>
                      <w:spacing w:val="0"/>
                      <w:sz w:val="28"/>
                      <w:szCs w:val="28"/>
                      <w:shd w:val="clear" w:fill="FFFFFF"/>
                      <w:lang w:val="en-US" w:eastAsia="zh-CN"/>
                    </w:rPr>
                    <m:t>P</m:t>
                  </m:r>
                  <m:r>
                    <m:rPr>
                      <m:sty m:val="p"/>
                    </m:rPr>
                    <w:rPr>
                      <w:rStyle w:val="8"/>
                      <w:rFonts w:hint="eastAsia" w:ascii="Cambria Math" w:hAnsi="Cambria Math" w:eastAsia="宋体" w:cs="宋体"/>
                      <w:caps w:val="0"/>
                      <w:color w:val="auto"/>
                      <w:spacing w:val="0"/>
                      <w:sz w:val="28"/>
                      <w:szCs w:val="28"/>
                      <w:shd w:val="clear" w:fill="FFFFFF"/>
                      <w:lang w:val="en-US" w:eastAsia="zh-CN"/>
                    </w:rPr>
                    <m:t>rice</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e>
                <m:sub>
                  <m:r>
                    <m:rPr>
                      <m:sty m:val="p"/>
                    </m:rPr>
                    <w:rPr>
                      <w:rStyle w:val="8"/>
                      <w:rFonts w:hint="default" w:ascii="Cambria Math" w:hAnsi="Cambria Math" w:eastAsia="宋体" w:cs="宋体"/>
                      <w:caps w:val="0"/>
                      <w:color w:val="auto"/>
                      <w:spacing w:val="0"/>
                      <w:sz w:val="28"/>
                      <w:szCs w:val="28"/>
                      <w:shd w:val="clear" w:fill="FFFFFF"/>
                      <w:lang w:val="en-US" w:eastAsia="zh-CN"/>
                    </w:rPr>
                    <m:t>t−1</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ub>
              </m:sSub>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num>
            <m:den>
              <m:sSub>
                <m:sSubP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SubPr>
                <m:e>
                  <m:r>
                    <m:rPr>
                      <m:sty m:val="p"/>
                    </m:rPr>
                    <w:rPr>
                      <w:rStyle w:val="8"/>
                      <w:rFonts w:hint="default" w:ascii="Cambria Math" w:hAnsi="Cambria Math" w:eastAsia="宋体" w:cs="宋体"/>
                      <w:caps w:val="0"/>
                      <w:color w:val="auto"/>
                      <w:spacing w:val="0"/>
                      <w:sz w:val="28"/>
                      <w:szCs w:val="28"/>
                      <w:shd w:val="clear" w:fill="FFFFFF"/>
                      <w:lang w:val="en-US" w:eastAsia="zh-CN"/>
                    </w:rPr>
                    <m:t>P</m:t>
                  </m:r>
                  <m:r>
                    <m:rPr>
                      <m:sty m:val="p"/>
                    </m:rPr>
                    <w:rPr>
                      <w:rStyle w:val="8"/>
                      <w:rFonts w:hint="eastAsia" w:ascii="Cambria Math" w:hAnsi="Cambria Math" w:eastAsia="宋体" w:cs="宋体"/>
                      <w:caps w:val="0"/>
                      <w:color w:val="auto"/>
                      <w:spacing w:val="0"/>
                      <w:sz w:val="28"/>
                      <w:szCs w:val="28"/>
                      <w:shd w:val="clear" w:fill="FFFFFF"/>
                      <w:lang w:val="en-US" w:eastAsia="zh-CN"/>
                    </w:rPr>
                    <m:t>rice</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e>
                <m:sub>
                  <m:r>
                    <m:rPr>
                      <m:sty m:val="p"/>
                    </m:rPr>
                    <w:rPr>
                      <w:rStyle w:val="8"/>
                      <w:rFonts w:hint="default" w:ascii="Cambria Math" w:hAnsi="Cambria Math" w:eastAsia="宋体" w:cs="宋体"/>
                      <w:caps w:val="0"/>
                      <w:color w:val="auto"/>
                      <w:spacing w:val="0"/>
                      <w:sz w:val="28"/>
                      <w:szCs w:val="28"/>
                      <w:shd w:val="clear" w:fill="FFFFFF"/>
                      <w:lang w:val="en-US" w:eastAsia="zh-CN"/>
                    </w:rPr>
                    <m:t>t−13</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ub>
              </m:sSub>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den>
          </m:f>
          <m:r>
            <m:rPr>
              <m:sty m:val="p"/>
            </m:rPr>
            <w:rPr>
              <w:rStyle w:val="8"/>
              <w:rFonts w:hint="default" w:ascii="Cambria Math" w:hAnsi="Cambria Math" w:eastAsia="宋体" w:cs="宋体"/>
              <w:caps w:val="0"/>
              <w:color w:val="auto"/>
              <w:spacing w:val="0"/>
              <w:sz w:val="28"/>
              <w:szCs w:val="28"/>
              <w:shd w:val="clear" w:fill="FFFFFF"/>
              <w:lang w:val="en-US" w:eastAsia="zh-CN"/>
            </w:rPr>
            <m:t>−1</m:t>
          </m:r>
        </m:oMath>
      </m:oMathPara>
    </w:p>
    <w:p w14:paraId="7B472BE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·波动率（volatility）：事件日前第20个交易日至前第120个交易日的日收益率年化标准差。</w:t>
      </w:r>
    </w:p>
    <w:p w14:paraId="5359F123">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（4）内生性控制变量：为控制事件前可能存在的股价趋势或信息泄露导致的内生性问题，计算事件前[-10, -2]窗口期的累计超额收益率（CARpre），作为后续回归模型的重要控制变量。</w:t>
      </w:r>
    </w:p>
    <w:p w14:paraId="6EB76C8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3.</w:t>
      </w:r>
      <w:r>
        <w:rPr>
          <w:rStyle w:val="8"/>
          <w:rFonts w:hint="eastAsia" w:ascii="宋体" w:hAnsi="宋体" w:eastAsia="宋体" w:cs="宋体"/>
          <w:b w:val="0"/>
          <w:bCs w:val="0"/>
          <w:i w:val="0"/>
          <w:iCs w:val="0"/>
          <w:caps w:val="0"/>
          <w:color w:val="auto"/>
          <w:spacing w:val="0"/>
          <w:sz w:val="28"/>
          <w:szCs w:val="28"/>
          <w:shd w:val="clear" w:fill="FFFFFF"/>
        </w:rPr>
        <w:t>新闻文本数据：</w:t>
      </w:r>
    </w:p>
    <w:p w14:paraId="128BA2BC">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新闻来源：</w:t>
      </w:r>
    </w:p>
    <w:p w14:paraId="15E54612">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彭博、路透、华尔街日报、TechCrunch、CNBC 等全球主流财经与科技媒体，通过 Factiva 数据库 / 网络爬虫获取；</w:t>
      </w:r>
    </w:p>
    <w:p w14:paraId="15E4A275">
      <w:pPr>
        <w:numPr>
          <w:ilvl w:val="0"/>
          <w:numId w:val="0"/>
        </w:num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eastAsia" w:ascii="宋体" w:hAnsi="宋体" w:eastAsia="宋体" w:cs="宋体"/>
          <w:b w:val="0"/>
          <w:bCs w:val="0"/>
          <w:i w:val="0"/>
          <w:iCs w:val="0"/>
          <w:caps w:val="0"/>
          <w:color w:val="auto"/>
          <w:spacing w:val="0"/>
          <w:sz w:val="28"/>
          <w:szCs w:val="28"/>
          <w:shd w:val="clear" w:fill="FFFFFF"/>
          <w:lang w:val="en-US" w:eastAsia="zh-CN"/>
        </w:rPr>
        <w:t>爬虫关键词：</w:t>
      </w:r>
    </w:p>
    <w:p w14:paraId="696E1BDE">
      <w:pPr>
        <w:numPr>
          <w:ilvl w:val="0"/>
          <w:numId w:val="0"/>
        </w:num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「发布主体公司名 + 模型名 + release/launch/announce」，时间范围严格限定在事件窗口期 [-1,+1] 交易日内。</w:t>
      </w:r>
    </w:p>
    <w:p w14:paraId="4EBB3C0D">
      <w:pP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4.股票池构建</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手动整理了Artificial Intelligence &amp; Technology ETF事件发生当期的成分股，使用全球行业分类标准(GICS)，按照板块（11个）及行业组（24个），</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将样本公司分为AI基础模型、算力、电力、数据、应用等产业链环节，并标注其与发布者的关系</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6E795639">
      <w:pPr>
        <w:spacing w:line="240" w:lineRule="auto"/>
        <w:jc w:val="left"/>
        <w:rPr>
          <w:b/>
          <w:bCs/>
          <w:color w:val="auto"/>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三</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 xml:space="preserve"> 情感分析</w:t>
      </w:r>
    </w:p>
    <w:p w14:paraId="4A5DD68B">
      <w:pPr>
        <w:pStyle w:val="5"/>
        <w:keepNext w:val="0"/>
        <w:keepLines w:val="0"/>
        <w:widowControl/>
        <w:suppressLineNumbers w:val="0"/>
        <w:shd w:val="clear" w:fill="FFFFFF"/>
        <w:spacing w:before="192" w:beforeAutospacing="0" w:after="192" w:afterAutospacing="0"/>
        <w:ind w:left="0" w:right="0" w:firstLine="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1.模型选择</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：新闻文本的情感基调是影响投资者决策和市场反应的关键渠道。为准确量化LLM发布事件窗口期内媒体报道的情感倾向与分歧程度，本研究采用FinBERT模型</w:t>
      </w:r>
      <w:bookmarkStart w:id="0" w:name="_GoBack"/>
      <w:bookmarkEnd w:id="0"/>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2D30B08D">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2</w:t>
      </w:r>
      <w:r>
        <w:rPr>
          <w:rStyle w:val="8"/>
          <w:rFonts w:hint="default" w:ascii="宋体" w:hAnsi="宋体" w:eastAsia="宋体" w:cs="宋体"/>
          <w:b w:val="0"/>
          <w:bCs w:val="0"/>
          <w:i w:val="0"/>
          <w:iCs w:val="0"/>
          <w:caps w:val="0"/>
          <w:color w:val="auto"/>
          <w:spacing w:val="0"/>
          <w:sz w:val="28"/>
          <w:szCs w:val="28"/>
          <w:shd w:val="clear" w:fill="FFFFFF"/>
        </w:rPr>
        <w:t>.数据清洗与预处理</w:t>
      </w:r>
    </w:p>
    <w:p w14:paraId="42282570">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文本清洗：去除HTML标签、特殊字符、广告等噪声。</w:t>
      </w:r>
    </w:p>
    <w:p w14:paraId="43638FFB">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去重：对相同或高度相似的新闻进行去重处理，避免重复报道对情感聚合指标产生偏误。</w:t>
      </w:r>
    </w:p>
    <w:p w14:paraId="3DB32DF4">
      <w:pPr>
        <w:spacing w:line="240" w:lineRule="auto"/>
        <w:ind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窗口对齐：确保所有情感分析的文本窗口与CAR计算的事件窗口严格一致，即</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[-1, +1]</w:t>
      </w:r>
      <w:r>
        <w:rPr>
          <w:rStyle w:val="8"/>
          <w:rFonts w:hint="default" w:ascii="宋体" w:hAnsi="宋体" w:eastAsia="宋体" w:cs="宋体"/>
          <w:b w:val="0"/>
          <w:bCs w:val="0"/>
          <w:i w:val="0"/>
          <w:iCs w:val="0"/>
          <w:caps w:val="0"/>
          <w:color w:val="auto"/>
          <w:spacing w:val="0"/>
          <w:sz w:val="28"/>
          <w:szCs w:val="28"/>
          <w:shd w:val="clear" w:fill="FFFFFF"/>
        </w:rPr>
        <w:t>交易日。</w:t>
      </w:r>
    </w:p>
    <w:p w14:paraId="0F319C85">
      <w:pPr>
        <w:pStyle w:val="4"/>
        <w:keepNext w:val="0"/>
        <w:keepLines w:val="0"/>
        <w:widowControl/>
        <w:suppressLineNumbers w:val="0"/>
        <w:shd w:val="clear" w:fill="FFFFFF"/>
        <w:spacing w:before="192" w:beforeAutospacing="0" w:after="192" w:afterAutospacing="0" w:line="336" w:lineRule="atLeast"/>
        <w:ind w:left="0" w:right="0" w:firstLine="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.情感分析工具选择与升级</w:t>
      </w:r>
    </w:p>
    <w:p w14:paraId="78A092CA">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default"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选择模型</w:t>
      </w:r>
      <w:r>
        <w:rPr>
          <w:rStyle w:val="8"/>
          <w:rFonts w:hint="default" w:ascii="宋体" w:hAnsi="宋体" w:eastAsia="宋体" w:cs="宋体"/>
          <w:b w:val="0"/>
          <w:bCs w:val="0"/>
          <w:i w:val="0"/>
          <w:iCs w:val="0"/>
          <w:caps w:val="0"/>
          <w:color w:val="auto"/>
          <w:spacing w:val="0"/>
          <w:sz w:val="28"/>
          <w:szCs w:val="28"/>
          <w:shd w:val="clear" w:fill="FFFFFF"/>
        </w:rPr>
        <w:t>：金融领域预训练模型（FinBERT）</w:t>
      </w:r>
    </w:p>
    <w:p w14:paraId="07441FFC">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目的：利用金融领域语料预训练的优势，提供更准确的专业文本情感分析结果。</w:t>
      </w:r>
    </w:p>
    <w:p w14:paraId="759013DE">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·步骤</w:t>
      </w:r>
      <w:r>
        <w:rPr>
          <w:rStyle w:val="8"/>
          <w:rFonts w:hint="default" w:ascii="宋体" w:hAnsi="宋体" w:eastAsia="宋体" w:cs="宋体"/>
          <w:b w:val="0"/>
          <w:bCs w:val="0"/>
          <w:i w:val="0"/>
          <w:iCs w:val="0"/>
          <w:caps w:val="0"/>
          <w:color w:val="auto"/>
          <w:spacing w:val="0"/>
          <w:sz w:val="28"/>
          <w:szCs w:val="28"/>
          <w:shd w:val="clear" w:fill="FFFFFF"/>
        </w:rPr>
        <w:t>：</w:t>
      </w:r>
    </w:p>
    <w:p w14:paraId="36C20D18">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a.</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数据清洗：对抓取的新闻文本进行清洗，去除无关字符、广告等噪声。</w:t>
      </w:r>
    </w:p>
    <w:p w14:paraId="0F205AA5">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b.</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情感打分：使用预训练的FinBERT模型对清洗后的每条新闻文本进行情感打分，输出一个在-1（负面）到+1（正面）之间的情感分数。</w:t>
      </w:r>
    </w:p>
    <w:p w14:paraId="07600417">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c.</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窗口对齐：严格确保情感分析的文本窗口与CAR计算的事件窗口完全一致，即[-1, +1]。</w:t>
      </w:r>
    </w:p>
    <w:p w14:paraId="78283E51">
      <w:pPr>
        <w:pStyle w:val="5"/>
        <w:keepNext w:val="0"/>
        <w:keepLines w:val="0"/>
        <w:widowControl/>
        <w:suppressLineNumbers w:val="0"/>
        <w:spacing w:before="0" w:beforeAutospacing="0" w:after="0" w:afterAutospacing="0"/>
        <w:ind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d.引入人工验证：</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将从总体中随机抽取约100条新闻，由两名研究者独立进行人工情感标注（如正面、负面、中性），然后计算与FinBERT打分的一致性（如准确率或相关系数）”。</w:t>
      </w:r>
    </w:p>
    <w:p w14:paraId="709A0373">
      <w:pPr>
        <w:numPr>
          <w:ilvl w:val="0"/>
          <w:numId w:val="0"/>
        </w:numPr>
        <w:spacing w:line="240" w:lineRule="auto"/>
        <w:jc w:val="left"/>
        <w:rPr>
          <w:rStyle w:val="8"/>
          <w:rFonts w:hint="default"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（五）实证模型设计</w:t>
      </w:r>
    </w:p>
    <w:p w14:paraId="3B684F53">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本研究采用两步法进行分析：</w:t>
      </w:r>
    </w:p>
    <w:p w14:paraId="165A47B8">
      <w:pPr>
        <w:pStyle w:val="5"/>
        <w:keepNext w:val="0"/>
        <w:keepLines w:val="0"/>
        <w:widowControl/>
        <w:numPr>
          <w:ilvl w:val="0"/>
          <w:numId w:val="0"/>
        </w:numPr>
        <w:suppressLineNumbers w:val="0"/>
        <w:spacing w:before="0" w:beforeAutospacing="0" w:after="0" w:afterAutospacing="0"/>
        <w:ind w:left="0" w:leftChars="0" w:right="0" w:rightChars="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事件研究法：异常收益率与累计异常收益率计算</w:t>
      </w:r>
    </w:p>
    <w:p w14:paraId="675374A0">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本研究以市场模型作为累计异常收益率（CAR）计算的基准估计模型，同时采用Fama-French 三因子模型开展稳健性检验，具体设计如下：</w:t>
      </w:r>
    </w:p>
    <w:p w14:paraId="6CD4450B">
      <w:pPr>
        <w:pStyle w:val="5"/>
        <w:keepNext w:val="0"/>
        <w:keepLines w:val="0"/>
        <w:widowControl/>
        <w:suppressLineNumbers w:val="0"/>
        <w:spacing w:before="0" w:beforeAutospacing="0" w:after="0" w:afterAutospacing="0"/>
        <w:ind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正常收益率估计（市场模型）</w:t>
      </w:r>
    </w:p>
    <w:p w14:paraId="0BEDA0C8">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采用</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事件日前[-</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 </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]个交易日作为估计窗口，</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若估计窗口内出现财报、并购等重大事件，对该交易日进行剔除。</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该窗口既保证了参数估计的样本量充足，又与事件窗口完全隔离，避免事件信息对正常收益率估计的内生性干扰。通过市场模型估计个股正常收益率，公式如下：</w:t>
      </w:r>
    </w:p>
    <w:p w14:paraId="7CD69079">
      <w:pPr>
        <w:pStyle w:val="5"/>
        <w:keepNext w:val="0"/>
        <w:keepLines w:val="0"/>
        <w:widowControl/>
        <w:suppressLineNumbers w:val="0"/>
        <w:spacing w:before="0" w:beforeAutospacing="0" w:after="0" w:afterAutospacing="0"/>
        <w:ind w:left="0" w:right="0" w:firstLine="562" w:firstLineChars="200"/>
        <w:jc w:val="center"/>
        <w:rPr>
          <w:rStyle w:val="8"/>
          <w:rFonts w:hint="default" w:ascii="宋体" w:hAnsi="宋体" w:cs="宋体" w:eastAsiaTheme="minorEastAsia"/>
          <w:b w:val="0"/>
          <w:bCs w:val="0"/>
          <w:i w:val="0"/>
          <w:iCs w:val="0"/>
          <w:caps w:val="0"/>
          <w:color w:val="auto"/>
          <w:spacing w:val="0"/>
          <w:kern w:val="2"/>
          <w:sz w:val="28"/>
          <w:szCs w:val="28"/>
          <w:shd w:val="clear" w:fill="FFFFFF"/>
          <w:lang w:val="en-US" w:eastAsia="zh-CN" w:bidi="ar-SA"/>
        </w:rPr>
      </w:pP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 xml:space="preserve">  t</w:t>
      </w:r>
      <m:oMath>
        <m:r>
          <m:rPr>
            <m:sty m:val="bi"/>
          </m:rPr>
          <w:rPr>
            <w:rStyle w:val="8"/>
            <w:rFonts w:ascii="Cambria Math" w:hAnsi="Cambria Math" w:cs="宋体"/>
            <w:caps w:val="0"/>
            <w:color w:val="auto"/>
            <w:spacing w:val="0"/>
            <w:kern w:val="2"/>
            <w:sz w:val="28"/>
            <w:szCs w:val="28"/>
            <w:shd w:val="clear" w:fill="FFFFFF"/>
            <w:lang w:val="en-US" w:bidi="ar-SA"/>
          </w:rPr>
          <m:t>∈</m:t>
        </m:r>
        <m:r>
          <m:rPr>
            <m:sty m:val="p"/>
          </m:rPr>
          <w:rPr>
            <w:rStyle w:val="8"/>
            <w:rFonts w:hint="default" w:ascii="宋体" w:hAnsi="宋体" w:eastAsia="宋体" w:cs="宋体"/>
            <w:caps w:val="0"/>
            <w:color w:val="auto"/>
            <w:spacing w:val="0"/>
            <w:kern w:val="2"/>
            <w:sz w:val="28"/>
            <w:szCs w:val="28"/>
            <w:shd w:val="clear" w:fill="FFFFFF"/>
            <w:lang w:val="en-US" w:eastAsia="zh-CN" w:bidi="ar-SA"/>
          </w:rPr>
          <m:t>[−</m:t>
        </m:r>
        <m:r>
          <m:rPr>
            <m:sty m:val="p"/>
          </m:rPr>
          <w:rPr>
            <w:rStyle w:val="8"/>
            <w:rFonts w:hint="eastAsia" w:ascii="宋体" w:hAnsi="宋体" w:eastAsia="宋体" w:cs="宋体"/>
            <w:caps w:val="0"/>
            <w:color w:val="auto"/>
            <w:spacing w:val="0"/>
            <w:kern w:val="2"/>
            <w:sz w:val="28"/>
            <w:szCs w:val="28"/>
            <w:shd w:val="clear" w:fill="FFFFFF"/>
            <w:lang w:val="en-US" w:eastAsia="zh-CN" w:bidi="ar-SA"/>
          </w:rPr>
          <m:t>200</m:t>
        </m:r>
        <m:r>
          <m:rPr>
            <m:sty m:val="p"/>
          </m:rPr>
          <w:rPr>
            <w:rStyle w:val="8"/>
            <w:rFonts w:hint="default" w:ascii="宋体" w:hAnsi="宋体" w:eastAsia="宋体" w:cs="宋体"/>
            <w:caps w:val="0"/>
            <w:color w:val="auto"/>
            <w:spacing w:val="0"/>
            <w:kern w:val="2"/>
            <w:sz w:val="28"/>
            <w:szCs w:val="28"/>
            <w:shd w:val="clear" w:fill="FFFFFF"/>
            <w:lang w:val="en-US" w:eastAsia="zh-CN" w:bidi="ar-SA"/>
          </w:rPr>
          <m:t xml:space="preserve">, </m:t>
        </m:r>
        <m:r>
          <m:rPr>
            <m:sty m:val="p"/>
          </m:rPr>
          <w:rPr>
            <w:rStyle w:val="8"/>
            <w:rFonts w:hint="eastAsia" w:ascii="宋体" w:hAnsi="宋体" w:eastAsia="宋体" w:cs="宋体"/>
            <w:caps w:val="0"/>
            <w:color w:val="auto"/>
            <w:spacing w:val="0"/>
            <w:kern w:val="2"/>
            <w:sz w:val="28"/>
            <w:szCs w:val="28"/>
            <w:shd w:val="clear" w:fill="FFFFFF"/>
            <w:lang w:val="en-US" w:eastAsia="zh-CN" w:bidi="ar-SA"/>
          </w:rPr>
          <m:t>−10</m:t>
        </m:r>
        <m:r>
          <m:rPr>
            <m:sty m:val="p"/>
          </m:rPr>
          <w:rPr>
            <w:rStyle w:val="8"/>
            <w:rFonts w:hint="default" w:ascii="宋体" w:hAnsi="宋体" w:eastAsia="宋体" w:cs="宋体"/>
            <w:caps w:val="0"/>
            <w:color w:val="auto"/>
            <w:spacing w:val="0"/>
            <w:kern w:val="2"/>
            <w:sz w:val="28"/>
            <w:szCs w:val="28"/>
            <w:shd w:val="clear" w:fill="FFFFFF"/>
            <w:lang w:val="en-US" w:eastAsia="zh-CN" w:bidi="ar-SA"/>
          </w:rPr>
          <m:t>]</m:t>
        </m:r>
      </m:oMath>
    </w:p>
    <w:p w14:paraId="6CD1C991">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154B91F6">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：公司 j 在交易日 t 的日度个股收益率；</w:t>
      </w:r>
    </w:p>
    <w:p w14:paraId="50C9581B">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：交易日 t 的市场基准指数日度收益率；</w:t>
      </w:r>
    </w:p>
    <w:p w14:paraId="15F45EBF">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α</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β</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市场模型估计出的个股截距项与风险载荷系数；</w:t>
      </w:r>
    </w:p>
    <w:p w14:paraId="344CBCF2">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：模型残差项，满足</w:t>
      </w:r>
      <m:oMath>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E(</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)=0  Var(</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p>
          <m:sSup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pPr>
          <m:e>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σ</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p>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p>
        </m:sSup>
      </m:oMath>
    </w:p>
    <w:p w14:paraId="32C091CE">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（2）日度异常收益率（AR）计算</w:t>
      </w:r>
    </w:p>
    <w:p w14:paraId="060B85CD">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基于估计窗口得到的模型参数，计算事件窗口内个股的日度异常收益率：</w:t>
      </w:r>
    </w:p>
    <w:p w14:paraId="61F9FBFF">
      <w:pPr>
        <w:pStyle w:val="5"/>
        <w:keepNext w:val="0"/>
        <w:keepLines w:val="0"/>
        <w:widowControl/>
        <w:numPr>
          <w:ilvl w:val="0"/>
          <w:numId w:val="0"/>
        </w:numPr>
        <w:suppressLineNumbers w:val="0"/>
        <w:spacing w:before="0" w:beforeAutospacing="0" w:after="0" w:afterAutospacing="0"/>
        <w:ind w:leftChars="200" w:right="0" w:rightChars="0"/>
        <w:rPr>
          <w:rFonts w:hint="default" w:ascii="宋体" w:hAnsi="宋体" w:eastAsia="宋体" w:cs="宋体"/>
          <w:sz w:val="24"/>
          <w:szCs w:val="24"/>
          <w:lang w:val="en-US" w:eastAsia="zh-CN"/>
        </w:rPr>
      </w:pPr>
      <m:oMathPara>
        <m:oMath>
          <m:sSub>
            <m:sSubPr>
              <m:ctrlPr>
                <w:rPr>
                  <w:rStyle w:val="8"/>
                  <w:rFonts w:ascii="Cambria Math" w:hAnsi="Cambria Math" w:cs="宋体"/>
                  <w:bCs w:val="0"/>
                  <w:i w:val="0"/>
                  <w:iCs w:val="0"/>
                  <w:caps w:val="0"/>
                  <w:color w:val="auto"/>
                  <w:spacing w:val="0"/>
                  <w:kern w:val="2"/>
                  <w:sz w:val="28"/>
                  <w:szCs w:val="28"/>
                  <w:shd w:val="clear" w:fill="FFFFFF"/>
                  <w:lang w:val="en-US" w:bidi="ar-SA"/>
                </w:rPr>
              </m:ctrlPr>
            </m:sSubPr>
            <m:e>
              <m:r>
                <m:rPr>
                  <m:sty m:val="p"/>
                </m:rPr>
                <w:rPr>
                  <w:rStyle w:val="8"/>
                  <w:rFonts w:hint="default" w:ascii="Cambria Math" w:hAnsi="Cambria Math" w:cs="宋体"/>
                  <w:caps w:val="0"/>
                  <w:color w:val="auto"/>
                  <w:spacing w:val="0"/>
                  <w:kern w:val="2"/>
                  <w:sz w:val="28"/>
                  <w:szCs w:val="28"/>
                  <w:shd w:val="clear" w:fill="FFFFFF"/>
                  <w:lang w:val="en-US" w:eastAsia="zh-CN" w:bidi="ar-SA"/>
                </w:rPr>
                <m:t>AR</m:t>
              </m:r>
              <m:ctrlPr>
                <w:rPr>
                  <w:rStyle w:val="8"/>
                  <w:rFonts w:ascii="Cambria Math" w:hAnsi="Cambria Math" w:cs="宋体"/>
                  <w:bCs w:val="0"/>
                  <w:i w:val="0"/>
                  <w:iCs w:val="0"/>
                  <w:caps w:val="0"/>
                  <w:color w:val="auto"/>
                  <w:spacing w:val="0"/>
                  <w:kern w:val="2"/>
                  <w:sz w:val="28"/>
                  <w:szCs w:val="28"/>
                  <w:shd w:val="clear" w:fill="FFFFFF"/>
                  <w:lang w:val="en-US" w:bidi="ar-SA"/>
                </w:rPr>
              </m:ctrlPr>
            </m:e>
            <m:sub>
              <m:r>
                <m:rPr>
                  <m:sty m:val="p"/>
                </m:rPr>
                <w:rPr>
                  <w:rStyle w:val="8"/>
                  <w:rFonts w:hint="default" w:ascii="Cambria Math" w:hAnsi="Cambria Math" w:cs="宋体"/>
                  <w:caps w:val="0"/>
                  <w:color w:val="auto"/>
                  <w:spacing w:val="0"/>
                  <w:kern w:val="2"/>
                  <w:sz w:val="28"/>
                  <w:szCs w:val="28"/>
                  <w:shd w:val="clear" w:fill="FFFFFF"/>
                  <w:lang w:val="en-US" w:eastAsia="zh-CN" w:bidi="ar-SA"/>
                </w:rPr>
                <m:t>ij,t</m:t>
              </m:r>
              <m:ctrlPr>
                <w:rPr>
                  <w:rStyle w:val="8"/>
                  <w:rFonts w:ascii="Cambria Math" w:hAnsi="Cambria Math" w:cs="宋体"/>
                  <w:bCs w:val="0"/>
                  <w:i w:val="0"/>
                  <w:iCs w:val="0"/>
                  <w:caps w:val="0"/>
                  <w:color w:val="auto"/>
                  <w:spacing w:val="0"/>
                  <w:kern w:val="2"/>
                  <w:sz w:val="28"/>
                  <w:szCs w:val="28"/>
                  <w:shd w:val="clear" w:fill="FFFFFF"/>
                  <w:lang w:val="en-US" w:bidi="ar-SA"/>
                </w:rPr>
              </m:ctrlPr>
            </m:sub>
          </m:sSub>
          <m:r>
            <m:rPr>
              <m:sty m:val="p"/>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0C483E48">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0FCA9A36">
      <w:pPr>
        <w:pStyle w:val="5"/>
        <w:keepNext w:val="0"/>
        <w:keepLines w:val="0"/>
        <w:widowControl/>
        <w:suppressLineNumbers w:val="0"/>
        <w:spacing w:before="0" w:beforeAutospacing="0" w:after="0" w:afterAutospacing="0"/>
        <w:ind w:left="0" w:right="0" w:firstLine="562"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ascii="Cambria Math" w:hAnsi="Cambria Math" w:cs="宋体"/>
                <w:b/>
                <w:bCs w:val="0"/>
                <w:i w:val="0"/>
                <w:iCs w:val="0"/>
                <w:caps w:val="0"/>
                <w:color w:val="auto"/>
                <w:spacing w:val="0"/>
                <w:kern w:val="2"/>
                <w:sz w:val="28"/>
                <w:szCs w:val="28"/>
                <w:shd w:val="clear" w:fill="FFFFFF"/>
                <w:lang w:val="en-US" w:bidi="ar-SA"/>
              </w:rPr>
            </m:ctrlPr>
          </m:sSubPr>
          <m:e>
            <m:r>
              <m:rPr>
                <m:sty m:val="b"/>
              </m:rPr>
              <w:rPr>
                <w:rStyle w:val="8"/>
                <w:rFonts w:hint="default" w:ascii="Cambria Math" w:hAnsi="Cambria Math" w:cs="宋体"/>
                <w:caps w:val="0"/>
                <w:color w:val="auto"/>
                <w:spacing w:val="0"/>
                <w:kern w:val="2"/>
                <w:sz w:val="28"/>
                <w:szCs w:val="28"/>
                <w:shd w:val="clear" w:fill="FFFFFF"/>
                <w:lang w:val="en-US" w:eastAsia="zh-CN" w:bidi="ar-SA"/>
              </w:rPr>
              <m:t>AR</m:t>
            </m:r>
            <m:ctrlPr>
              <w:rPr>
                <w:rStyle w:val="8"/>
                <w:rFonts w:ascii="Cambria Math" w:hAnsi="Cambria Math" w:cs="宋体"/>
                <w:b/>
                <w:bCs w:val="0"/>
                <w:i w:val="0"/>
                <w:iCs w:val="0"/>
                <w:caps w:val="0"/>
                <w:color w:val="auto"/>
                <w:spacing w:val="0"/>
                <w:kern w:val="2"/>
                <w:sz w:val="28"/>
                <w:szCs w:val="28"/>
                <w:shd w:val="clear" w:fill="FFFFFF"/>
                <w:lang w:val="en-US" w:bidi="ar-SA"/>
              </w:rPr>
            </m:ctrlPr>
          </m:e>
          <m:sub>
            <m:r>
              <m:rPr>
                <m:sty m:val="b"/>
              </m:rPr>
              <w:rPr>
                <w:rStyle w:val="8"/>
                <w:rFonts w:hint="default" w:ascii="Cambria Math" w:hAnsi="Cambria Math" w:cs="宋体"/>
                <w:caps w:val="0"/>
                <w:color w:val="auto"/>
                <w:spacing w:val="0"/>
                <w:kern w:val="2"/>
                <w:sz w:val="28"/>
                <w:szCs w:val="28"/>
                <w:shd w:val="clear" w:fill="FFFFFF"/>
                <w:lang w:val="en-US" w:eastAsia="zh-CN" w:bidi="ar-SA"/>
              </w:rPr>
              <m:t>ij,t</m:t>
            </m:r>
            <m:ctrlPr>
              <w:rPr>
                <w:rStyle w:val="8"/>
                <w:rFonts w:ascii="Cambria Math" w:hAnsi="Cambria Math" w:cs="宋体"/>
                <w:b/>
                <w:bCs w:val="0"/>
                <w:i w:val="0"/>
                <w:iCs w:val="0"/>
                <w:caps w:val="0"/>
                <w:color w:val="auto"/>
                <w:spacing w:val="0"/>
                <w:kern w:val="2"/>
                <w:sz w:val="28"/>
                <w:szCs w:val="28"/>
                <w:shd w:val="clear" w:fill="FFFFFF"/>
                <w:lang w:val="en-US"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 i 中，公司 j 在交易日 t 的日度异常收益率；</w:t>
      </w:r>
    </w:p>
    <w:p w14:paraId="56B68C34">
      <w:pPr>
        <w:pStyle w:val="5"/>
        <w:keepNext w:val="0"/>
        <w:keepLines w:val="0"/>
        <w:widowControl/>
        <w:suppressLineNumbers w:val="0"/>
        <w:spacing w:before="0" w:beforeAutospacing="0" w:after="0" w:afterAutospacing="0"/>
        <w:ind w:left="0" w:right="0" w:firstLine="562"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acc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β</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acc>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：估计窗口回归得到的参数拟合值。</w:t>
      </w:r>
    </w:p>
    <w:p w14:paraId="2D213A20">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（3）累计异常收益率（CAR）计算</w:t>
      </w:r>
    </w:p>
    <w:p w14:paraId="362C9672">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对事件窗口内的日度异常收益率进行累加，得到核心被解释变量 CAR：</w:t>
      </w:r>
    </w:p>
    <w:p w14:paraId="72ABE3C4">
      <w:pPr>
        <w:pStyle w:val="5"/>
        <w:keepNext w:val="0"/>
        <w:keepLines w:val="0"/>
        <w:widowControl/>
        <w:suppressLineNumbers w:val="0"/>
        <w:spacing w:before="0" w:beforeAutospacing="0" w:after="0" w:afterAutospacing="0"/>
        <w:ind w:left="0" w:right="0" w:firstLine="562"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Para>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CAR</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m:t>
          </m:r>
          <m:nary>
            <m:naryPr>
              <m:chr m:val="∑"/>
              <m:limLoc m:val="subSup"/>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naryPr>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up>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p>
            <m:e>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AR</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nary>
        </m:oMath>
      </m:oMathPara>
    </w:p>
    <w:p w14:paraId="38DA7E6E">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03B1B197">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CAR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：事件i中，公司j在窗口期</w:t>
      </w:r>
      <m:oMath>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的累计异常收益率；</w:t>
      </w:r>
    </w:p>
    <w:p w14:paraId="592F8A4E">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主回归基准窗口设定为[−1,+1]（事件日前后 1 个交易日），稳健性检验采用[−2,+2]、[−3,+3]窗口；</w:t>
      </w:r>
    </w:p>
    <w:p w14:paraId="0DE3B25E">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同步计算事件前窗口期[−10,−2]的累计异常收益率</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CARpre</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，作为事前趋势控制变量纳入回归模型。</w:t>
      </w:r>
    </w:p>
    <w:p w14:paraId="1A10A72C">
      <w:pPr>
        <w:pStyle w:val="5"/>
        <w:keepNext w:val="0"/>
        <w:keepLines w:val="0"/>
        <w:widowControl/>
        <w:numPr>
          <w:ilvl w:val="0"/>
          <w:numId w:val="0"/>
        </w:numPr>
        <w:suppressLineNumbers w:val="0"/>
        <w:spacing w:before="0" w:beforeAutospacing="0" w:after="0" w:afterAutospacing="0"/>
        <w:ind w:left="0" w:leftChars="0" w:right="0" w:rightChars="0" w:firstLine="0" w:firstLineChars="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CAR 的显著性检验</w:t>
      </w:r>
    </w:p>
    <w:p w14:paraId="21A3A4A4">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本研究采用参数 t 检验验证全样本、分样本的 CAR 是否显著异于 0，原假设为事件窗口期内的累计异常收益率均值等于0；同时补充事件聚类调整的显著性检验（如 BMP 检验、Bootstrap 聚类标准误），确保事件效应的统计有效性。</w:t>
      </w:r>
    </w:p>
    <w:p w14:paraId="20968267">
      <w:pPr>
        <w:pStyle w:val="5"/>
        <w:keepNext w:val="0"/>
        <w:keepLines w:val="0"/>
        <w:widowControl/>
        <w:numPr>
          <w:ilvl w:val="0"/>
          <w:numId w:val="0"/>
        </w:numPr>
        <w:suppressLineNumbers w:val="0"/>
        <w:spacing w:before="0" w:beforeAutospacing="0" w:after="0" w:afterAutospacing="0"/>
        <w:ind w:left="0" w:leftChars="0" w:right="0" w:rightChars="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Fonts w:hint="eastAsia" w:ascii="宋体" w:hAnsi="宋体" w:eastAsia="宋体" w:cs="宋体"/>
          <w:b w:val="0"/>
          <w:bCs w:val="0"/>
          <w:i w:val="0"/>
          <w:iCs w:val="0"/>
          <w:caps w:val="0"/>
          <w:color w:val="auto"/>
          <w:spacing w:val="0"/>
          <w:kern w:val="2"/>
          <w:sz w:val="28"/>
          <w:szCs w:val="28"/>
          <w:shd w:val="clear" w:fill="FFFFFF"/>
          <w:lang w:val="en-US" w:eastAsia="zh-CN" w:bidi="ar-SA"/>
        </w:rPr>
        <w:t>5</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稳健性检验：Fama-French 三因子模型</w:t>
      </w:r>
    </w:p>
    <w:p w14:paraId="52E3823C">
      <w:pPr>
        <w:pStyle w:val="5"/>
        <w:keepNext w:val="0"/>
        <w:keepLines w:val="0"/>
        <w:widowControl/>
        <w:numPr>
          <w:ilvl w:val="0"/>
          <w:numId w:val="0"/>
        </w:numPr>
        <w:suppressLineNumbers w:val="0"/>
        <w:spacing w:before="0" w:beforeAutospacing="0" w:after="0" w:afterAutospacing="0"/>
        <w:ind w:left="0" w:leftChars="0" w:right="0" w:rightChars="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为排除个股收益的规模溢价、价值溢价对异常收益率估计的干扰，验证基准结果的可靠性，本研究采用 Fama-French 三因子模型替换市场模型，重新计算事件窗口期内的 CAR，开展稳健性检验。模型设定如下：</w:t>
      </w:r>
    </w:p>
    <w:p w14:paraId="7A7392B4">
      <w:pPr>
        <w:pStyle w:val="5"/>
        <w:keepNext w:val="0"/>
        <w:keepLines w:val="0"/>
        <w:widowControl/>
        <w:numPr>
          <w:ilvl w:val="0"/>
          <w:numId w:val="0"/>
        </w:numPr>
        <w:suppressLineNumbers w:val="0"/>
        <w:spacing w:before="0" w:beforeAutospacing="0" w:after="0" w:afterAutospacing="0"/>
        <w:ind w:left="0" w:leftChars="0" w:right="0" w:rightChars="0" w:firstLine="562" w:firstLineChars="200"/>
        <w:jc w:val="left"/>
        <w:rPr>
          <w:rStyle w:val="8"/>
          <w:rFonts w:hint="default" w:ascii="宋体" w:hAnsi="宋体" w:cs="宋体" w:eastAsiaTheme="minorEastAsia"/>
          <w:b w:val="0"/>
          <w:bCs w:val="0"/>
          <w:i w:val="0"/>
          <w:iCs w:val="0"/>
          <w:caps w:val="0"/>
          <w:color w:val="auto"/>
          <w:spacing w:val="0"/>
          <w:kern w:val="2"/>
          <w:sz w:val="28"/>
          <w:szCs w:val="28"/>
          <w:shd w:val="clear" w:fill="FFFFFF"/>
          <w:lang w:val="en-US" w:eastAsia="zh-CN" w:bidi="ar-SA"/>
        </w:rPr>
      </w:pPr>
      <m:oMathPara>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1</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2</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SMB</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3</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HML</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172DF8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为t日的无风险收益率，</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为市场风险溢价因子，</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SMB</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为规模因子（小市值组合与大市值组合的收益率之差），</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HML</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为价值因子（高账面市值比组合与低账面市值比组合的收益率之差）。三因子数据均来源于 Kenneth French 官方数据库，估计窗口与事件窗口的设定与基准模型完全一致。</w:t>
      </w:r>
    </w:p>
    <w:p w14:paraId="3EB2B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若基于三因子模型计算的 CAR，在后续面板回归中，核心解释变量的系数方向、显著性水平与基准回归结果无实质性差异，则证明本研究关于 LLM 发布事件对股价影响的核心结论不受正常收益率估计模型选择的干扰，具有稳健性。</w:t>
      </w:r>
    </w:p>
    <w:p w14:paraId="32ABB945">
      <w:pPr>
        <w:pStyle w:val="5"/>
        <w:keepNext w:val="0"/>
        <w:keepLines w:val="0"/>
        <w:widowControl/>
        <w:suppressLineNumbers w:val="0"/>
        <w:spacing w:before="0" w:beforeAutospacing="0" w:after="0" w:afterAutospacing="0"/>
        <w:ind w:left="0"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面板数据回归分析</w:t>
      </w:r>
    </w:p>
    <w:p w14:paraId="21E94FC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由于数据同时包含事件维度（i）和企业维度（j），构成了面板数据。为解释不同事件、不同企业CAR的差异，构建如下双向固定效应模型：</w:t>
      </w:r>
    </w:p>
    <w:p w14:paraId="03C8FE99">
      <w:pPr>
        <w:pStyle w:val="5"/>
        <w:keepNext w:val="0"/>
        <w:keepLines w:val="0"/>
        <w:widowControl/>
        <w:suppressLineNumbers w:val="0"/>
        <w:spacing w:before="0" w:beforeAutospacing="0" w:after="0" w:afterAutospacing="0"/>
        <w:ind w:left="0" w:right="0"/>
        <w:rPr>
          <w:rStyle w:val="8"/>
          <w:rFonts w:hint="default" w:hAnsi="Cambria Math" w:cs="宋体"/>
          <w:bCs w:val="0"/>
          <w:i w:val="0"/>
          <w:iCs w:val="0"/>
          <w:caps w:val="0"/>
          <w:color w:val="auto"/>
          <w:spacing w:val="0"/>
          <w:kern w:val="2"/>
          <w:sz w:val="28"/>
          <w:szCs w:val="28"/>
          <w:shd w:val="clear" w:fill="FFFFFF"/>
          <w:lang w:val="en-US" w:eastAsia="zh-CN" w:bidi="ar-SA"/>
        </w:rPr>
      </w:pPr>
      <m:oMathPara>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0</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1</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CARpre</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2</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Sentiment_Mean</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3</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Sentiment_Std</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γ</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X</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θ</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Y</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ϕ</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Relationship</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δ</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industry(j)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γ</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quarter(i)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7289FC8D">
      <w:pPr>
        <w:pStyle w:val="5"/>
        <w:keepNext w:val="0"/>
        <w:keepLines w:val="0"/>
        <w:widowControl/>
        <w:numPr>
          <w:ilvl w:val="0"/>
          <w:numId w:val="2"/>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被解释变量</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32934115">
      <w:pPr>
        <w:pStyle w:val="5"/>
        <w:keepNext w:val="0"/>
        <w:keepLines w:val="0"/>
        <w:widowControl/>
        <w:numPr>
          <w:ilvl w:val="0"/>
          <w:numId w:val="0"/>
        </w:numPr>
        <w:suppressLineNumbers w:val="0"/>
        <w:spacing w:before="0" w:beforeAutospacing="0" w:after="0" w:afterAutospacing="0"/>
        <w:ind w:leftChars="200" w:right="0" w:rightChars="0" w:firstLine="281" w:firstLineChars="1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 xml:space="preserve">: </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事件i中公司j在[-1, +1]窗口的累计异常收益率。</w:t>
      </w:r>
    </w:p>
    <w:p w14:paraId="54EB202B">
      <w:pPr>
        <w:pStyle w:val="5"/>
        <w:keepNext w:val="0"/>
        <w:keepLines w:val="0"/>
        <w:widowControl/>
        <w:numPr>
          <w:ilvl w:val="0"/>
          <w:numId w:val="2"/>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核心解释变量：</w:t>
      </w:r>
    </w:p>
    <w:p w14:paraId="061CB315">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CARpre</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事件前[-10, -2]窗口的累计异常收益率，用于控制事件前股价趋势。</w:t>
      </w:r>
    </w:p>
    <w:p w14:paraId="57665525">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Sentiment_Mean</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事件i窗口期内，针对公司j的所有新闻情感分数的平均值，衡量媒体对该公司在本次事件中的整体态度；</w:t>
      </w:r>
    </w:p>
    <w:p w14:paraId="74E6733A">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Sentiment_Std</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事件i窗口期内，针对公司j的所有新闻情感分数的标准差，衡量针对该公司的媒体意见分歧度。</w:t>
      </w:r>
    </w:p>
    <w:p w14:paraId="01DCF0EA">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（3）控制变量：</w:t>
      </w:r>
    </w:p>
    <w:p w14:paraId="0CF468AD">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X</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事件级特征向量。包括模型技术特征（MMLU得分、是否开源、是否多模态、发布主体国籍）。</w:t>
      </w:r>
    </w:p>
    <w:p w14:paraId="6C97BA9C">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Y</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：企业级特征向量。包括：企业规模（Size）、账面市值比（B/M）、事件前 volatility、事件前12个月动量（Momentum）。</w:t>
      </w:r>
    </w:p>
    <w:p w14:paraId="464639C2">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 xml:space="preserve"> Relationship</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：关系虚拟变量，表示该公司在该事件中是“发布者”、“上游”、“下游”还是“竞对”。本研究根据目标公司在AI大模型产业链中的位置，定义其与特定发布模型的关系。具体分为三类：</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a.</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上游：提供该模型研发与部署所需的核心硬件、软件或算力基础设施的公司；</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b.</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下游：将该模型的技术或功能集成应用于自身产品与服务中的公司；</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c.</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竞对：提供与该模型存在直接替代或竞争关系的AI技术或产品的公司</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33CD664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固定效应</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与标准误</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1B167DA5">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δ</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industry(j)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：行业固定效应。控制所有不随时间变化、但随行业变化的不可观测因素（如AI算力、芯片设计、电力设备等行业的固有差异）。</w:t>
      </w:r>
    </w:p>
    <w:p w14:paraId="2A098834">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γ</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quarter(i)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：季度固定效应。控制所有随宏观时间变化、但不随个体变化的冲击（如宏观政策变化、市场整体情绪周期等）。</w:t>
      </w:r>
    </w:p>
    <w:p w14:paraId="3B11B5C5">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模型随机扰动项；</w:t>
      </w:r>
    </w:p>
    <w:p w14:paraId="53425695">
      <w:pPr>
        <w:pStyle w:val="5"/>
        <w:keepNext w:val="0"/>
        <w:keepLines w:val="0"/>
        <w:widowControl/>
        <w:numPr>
          <w:ilvl w:val="0"/>
          <w:numId w:val="0"/>
        </w:numPr>
        <w:suppressLineNumbers w:val="0"/>
        <w:spacing w:before="0" w:beforeAutospacing="0" w:after="0" w:afterAutospacing="0"/>
        <w:ind w:left="0" w:leftChars="0" w:right="0" w:rightChars="0" w:firstLine="0" w:firstLineChars="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内生性与</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计量问题处理：</w:t>
      </w:r>
    </w:p>
    <w:p w14:paraId="4C62D7A4">
      <w:pPr>
        <w:pStyle w:val="5"/>
        <w:keepNext w:val="0"/>
        <w:keepLines w:val="0"/>
        <w:widowControl/>
        <w:numPr>
          <w:ilvl w:val="0"/>
          <w:numId w:val="0"/>
        </w:numPr>
        <w:suppressLineNumbers w:val="0"/>
        <w:spacing w:before="0" w:beforeAutospacing="0" w:after="0" w:afterAutospacing="0"/>
        <w:ind w:left="0" w:leftChars="0" w:right="0" w:rightChars="0" w:firstLine="0" w:firstLineChars="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内生性与</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计量问题处理：</w:t>
      </w:r>
    </w:p>
    <w:p w14:paraId="27A51D89">
      <w:pPr>
        <w:pStyle w:val="5"/>
        <w:keepNext w:val="0"/>
        <w:keepLines w:val="0"/>
        <w:widowControl/>
        <w:suppressLineNumbers w:val="0"/>
        <w:spacing w:before="0" w:beforeAutospacing="0" w:after="0" w:afterAutospacing="0"/>
        <w:ind w:right="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（1）内生性：</w:t>
      </w:r>
    </w:p>
    <w:p w14:paraId="06D8BD9D">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·第一类：自选择偏差（样本选择问题）</w:t>
      </w:r>
    </w:p>
    <w:p w14:paraId="5D6DB496">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核心问题：七大巨头的 LLM 发布决策并非随机，而是基于企业自身的技术实力、股价走势、市场环境等因素内生决定的，直接对比发布与未发布事件的企业 CAR，存在自选择偏差。</w:t>
      </w:r>
    </w:p>
    <w:p w14:paraId="4E250270">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最优解决方法：倾向得分匹配 - 双重差分法（PSM-DID），PSM-DID 能够同时解决样本自选择与不随时间变化的不可观测因素带来的偏差，是事件研究中处理自选择偏差的金标准方法。</w:t>
      </w:r>
    </w:p>
    <w:p w14:paraId="0DB1C63E">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·第二类：遗漏变量偏差</w:t>
      </w:r>
    </w:p>
    <w:p w14:paraId="3B2ECC8F">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核心问题：存在未观测到的变量（如企业未公开的 AI 业务布局、同期市场整体 AI 情绪）同时影响 CAR 与核心解释变量，导致回归系数有偏。</w:t>
      </w:r>
    </w:p>
    <w:p w14:paraId="77176EE6">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最优解决方法：多维度固定效应 + 聚类标准误 + 安慰剂检验。</w:t>
      </w:r>
    </w:p>
    <w:p w14:paraId="2F52E198">
      <w:pPr>
        <w:pStyle w:val="5"/>
        <w:keepNext w:val="0"/>
        <w:keepLines w:val="0"/>
        <w:widowControl/>
        <w:suppressLineNumbers w:val="0"/>
        <w:spacing w:before="0" w:beforeAutospacing="0" w:after="0" w:afterAutospacing="0"/>
        <w:ind w:right="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（2）多重共线性：对所有解释变量进行 VIF 方差膨胀因子检验，VIF&gt;10 的变量予以剔除或中心化处理；</w:t>
      </w:r>
    </w:p>
    <w:p w14:paraId="6348684E">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（3）极端值处理：对所有连续变量在 1% 和 99% 分位数进行缩尾（Winsorize）处理，避免极端值对回归结果的干扰</w:t>
      </w:r>
    </w:p>
    <w:p w14:paraId="63321B95">
      <w:pPr>
        <w:pStyle w:val="4"/>
        <w:keepNext w:val="0"/>
        <w:keepLines w:val="0"/>
        <w:widowControl/>
        <w:numPr>
          <w:ilvl w:val="0"/>
          <w:numId w:val="3"/>
        </w:numPr>
        <w:suppressLineNumbers w:val="0"/>
        <w:shd w:val="clear" w:fill="FFFFFF"/>
        <w:spacing w:before="192" w:beforeAutospacing="0" w:after="192" w:afterAutospacing="0" w:line="336" w:lineRule="atLeast"/>
        <w:ind w:left="0" w:right="0" w:firstLine="0"/>
        <w:rPr>
          <w:rStyle w:val="8"/>
          <w:rFonts w:hint="default" w:ascii="宋体" w:hAnsi="宋体" w:eastAsia="宋体" w:cs="宋体"/>
          <w:b/>
          <w:bCs/>
          <w:i w:val="0"/>
          <w:iCs w:val="0"/>
          <w:caps w:val="0"/>
          <w:color w:val="auto"/>
          <w:spacing w:val="0"/>
          <w:kern w:val="2"/>
          <w:sz w:val="28"/>
          <w:szCs w:val="28"/>
          <w:shd w:val="clear" w:fill="FFFFFF"/>
          <w:lang w:val="en-US" w:eastAsia="zh-CN" w:bidi="ar-SA"/>
        </w:rPr>
      </w:pPr>
      <w:r>
        <w:rPr>
          <w:rStyle w:val="8"/>
          <w:rFonts w:hint="default" w:ascii="宋体" w:hAnsi="宋体" w:eastAsia="宋体" w:cs="宋体"/>
          <w:b/>
          <w:bCs/>
          <w:i w:val="0"/>
          <w:iCs w:val="0"/>
          <w:caps w:val="0"/>
          <w:color w:val="auto"/>
          <w:spacing w:val="0"/>
          <w:kern w:val="2"/>
          <w:sz w:val="28"/>
          <w:szCs w:val="28"/>
          <w:shd w:val="clear" w:fill="FFFFFF"/>
          <w:lang w:val="en-US" w:eastAsia="zh-CN" w:bidi="ar-SA"/>
        </w:rPr>
        <w:t>实证结果与分析</w:t>
      </w:r>
    </w:p>
    <w:p w14:paraId="54B3EB5F">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（一）描</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述性统计与相关性分析：包含所有变量的均值、标准差、分位数，以及多重共线性 VIF 检验； </w:t>
      </w:r>
    </w:p>
    <w:p w14:paraId="628CFBCA">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（二）</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事件研究法基准结果：全样本 CAR 的显著性检验、分产业链角色的 CAR 对比与可视化； </w:t>
      </w:r>
    </w:p>
    <w:p w14:paraId="2C522429">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（三）</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基准面板回归结果：采用逐步回归法，展示控制变量、核心解释变量、交互项的系数变化，解读经济含义与统计显著性； </w:t>
      </w:r>
    </w:p>
    <w:p w14:paraId="49E24D99">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（四）</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异质性分析：基于事件特征、企业特征、产业链环节的分组回归结果； 按维度分组： 事件特征：按是否开源、是否刷新 SOTA、是否多模态分组，检验事件特征的异质性影响；产业链角色：按发布方、上游、下游、竞对分组，检验 H1 的产业链差异化反应；</w:t>
      </w:r>
    </w:p>
    <w:p w14:paraId="7C9258EF">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（五）</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稳健性检验：包含更换事件窗口、更换收益率估计模型、更换核心解释变量、剔除极端样本、PSM 检验等结果。</w:t>
      </w:r>
    </w:p>
    <w:p w14:paraId="4BDEF00B">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六</w:t>
      </w:r>
      <w:r>
        <w:rPr>
          <w:rStyle w:val="8"/>
          <w:rFonts w:hint="eastAsia" w:ascii="宋体" w:hAnsi="宋体" w:eastAsia="宋体" w:cs="宋体"/>
          <w:b/>
          <w:bCs/>
          <w:i w:val="0"/>
          <w:iCs w:val="0"/>
          <w:caps w:val="0"/>
          <w:color w:val="auto"/>
          <w:spacing w:val="0"/>
          <w:sz w:val="28"/>
          <w:szCs w:val="28"/>
          <w:shd w:val="clear" w:fill="FFFFFF"/>
        </w:rPr>
        <w:t>、关键步骤与时间规划</w:t>
      </w:r>
    </w:p>
    <w:p w14:paraId="684FB7DC">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1. 阶段一（1-2月）：理论与数据准备</w:t>
      </w:r>
    </w:p>
    <w:p w14:paraId="13AE5948">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完成LLM发布事件清单的最终构建。</w:t>
      </w:r>
    </w:p>
    <w:p w14:paraId="50ED9FCA">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学习并测试情感分析工具。</w:t>
      </w:r>
    </w:p>
    <w:p w14:paraId="664293D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收集所有样本公司股价数据。</w:t>
      </w:r>
    </w:p>
    <w:p w14:paraId="15D9017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爬取或调用API获取对应事件窗口的新闻报道。</w:t>
      </w:r>
    </w:p>
    <w:p w14:paraId="22A6D614">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运行情感分析模型，生成情感指标数据集。</w:t>
      </w:r>
    </w:p>
    <w:p w14:paraId="3093DEC2">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2.阶段二（3-4月）：数据收集与处理</w:t>
      </w:r>
    </w:p>
    <w:p w14:paraId="7D008531">
      <w:pPr>
        <w:spacing w:line="240" w:lineRule="auto"/>
        <w:ind w:firstLine="560" w:firstLineChars="200"/>
        <w:jc w:val="left"/>
        <w:rPr>
          <w:color w:val="auto"/>
        </w:rPr>
      </w:pPr>
      <w:r>
        <w:rPr>
          <w:rStyle w:val="8"/>
          <w:rFonts w:hint="eastAsia" w:ascii="宋体" w:hAnsi="宋体" w:eastAsia="宋体" w:cs="宋体"/>
          <w:b w:val="0"/>
          <w:bCs w:val="0"/>
          <w:i w:val="0"/>
          <w:iCs w:val="0"/>
          <w:caps w:val="0"/>
          <w:color w:val="auto"/>
          <w:spacing w:val="0"/>
          <w:sz w:val="28"/>
          <w:szCs w:val="28"/>
          <w:shd w:val="clear" w:fill="FFFFFF"/>
        </w:rPr>
        <w:t>使用 Python 执行事件研究</w:t>
      </w:r>
      <w:r>
        <w:rPr>
          <w:rStyle w:val="8"/>
          <w:rFonts w:hint="eastAsia" w:ascii="宋体" w:hAnsi="宋体" w:eastAsia="宋体" w:cs="宋体"/>
          <w:b w:val="0"/>
          <w:bCs w:val="0"/>
          <w:i w:val="0"/>
          <w:iCs w:val="0"/>
          <w:caps w:val="0"/>
          <w:color w:val="auto"/>
          <w:spacing w:val="0"/>
          <w:sz w:val="28"/>
          <w:szCs w:val="28"/>
          <w:shd w:val="clear" w:fill="FFFFFF"/>
          <w:lang w:val="en-US" w:eastAsia="zh-CN"/>
        </w:rPr>
        <w:t>计算CAR</w:t>
      </w:r>
      <w:r>
        <w:rPr>
          <w:rStyle w:val="8"/>
          <w:rFonts w:hint="eastAsia" w:ascii="宋体" w:hAnsi="宋体" w:eastAsia="宋体" w:cs="宋体"/>
          <w:b w:val="0"/>
          <w:bCs w:val="0"/>
          <w:i w:val="0"/>
          <w:iCs w:val="0"/>
          <w:caps w:val="0"/>
          <w:color w:val="auto"/>
          <w:spacing w:val="0"/>
          <w:sz w:val="28"/>
          <w:szCs w:val="28"/>
          <w:shd w:val="clear" w:fill="FFFFFF"/>
        </w:rPr>
        <w:t>。</w:t>
      </w:r>
    </w:p>
    <w:p w14:paraId="042E5F64">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运行双向固定效应面板回归，检验事件特征、企业特征对CAR的影响。</w:t>
      </w:r>
    </w:p>
    <w:p w14:paraId="0C3D25F8">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进行一系列稳健性检验（改变事件窗口、更换市场模型、使用不同情感分析工具、剔除特定样本）。</w:t>
      </w:r>
    </w:p>
    <w:p w14:paraId="4D63861F">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3</w:t>
      </w:r>
      <w:r>
        <w:rPr>
          <w:rStyle w:val="8"/>
          <w:rFonts w:hint="eastAsia" w:ascii="宋体" w:hAnsi="宋体" w:eastAsia="宋体" w:cs="宋体"/>
          <w:b w:val="0"/>
          <w:bCs w:val="0"/>
          <w:i w:val="0"/>
          <w:iCs w:val="0"/>
          <w:caps w:val="0"/>
          <w:color w:val="auto"/>
          <w:spacing w:val="0"/>
          <w:sz w:val="28"/>
          <w:szCs w:val="28"/>
          <w:shd w:val="clear" w:fill="FFFFFF"/>
        </w:rPr>
        <w:t>. 阶段</w:t>
      </w:r>
      <w:r>
        <w:rPr>
          <w:rStyle w:val="8"/>
          <w:rFonts w:hint="eastAsia" w:ascii="宋体" w:hAnsi="宋体" w:eastAsia="宋体" w:cs="宋体"/>
          <w:b w:val="0"/>
          <w:bCs w:val="0"/>
          <w:i w:val="0"/>
          <w:iCs w:val="0"/>
          <w:caps w:val="0"/>
          <w:color w:val="auto"/>
          <w:spacing w:val="0"/>
          <w:sz w:val="28"/>
          <w:szCs w:val="28"/>
          <w:shd w:val="clear" w:fill="FFFFFF"/>
          <w:lang w:val="en-US" w:eastAsia="zh-CN"/>
        </w:rPr>
        <w:t>三</w:t>
      </w:r>
      <w:r>
        <w:rPr>
          <w:rStyle w:val="8"/>
          <w:rFonts w:hint="eastAsia"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5</w:t>
      </w:r>
      <w:r>
        <w:rPr>
          <w:rStyle w:val="8"/>
          <w:rFonts w:hint="eastAsia"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6</w:t>
      </w:r>
      <w:r>
        <w:rPr>
          <w:rStyle w:val="8"/>
          <w:rFonts w:hint="eastAsia" w:ascii="宋体" w:hAnsi="宋体" w:eastAsia="宋体" w:cs="宋体"/>
          <w:b w:val="0"/>
          <w:bCs w:val="0"/>
          <w:i w:val="0"/>
          <w:iCs w:val="0"/>
          <w:caps w:val="0"/>
          <w:color w:val="auto"/>
          <w:spacing w:val="0"/>
          <w:sz w:val="28"/>
          <w:szCs w:val="28"/>
          <w:shd w:val="clear" w:fill="FFFFFF"/>
        </w:rPr>
        <w:t>月）：论文撰写与修改</w:t>
      </w:r>
    </w:p>
    <w:p w14:paraId="64D850F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整合结果，撰写完整论文。</w:t>
      </w:r>
    </w:p>
    <w:p w14:paraId="2472A5F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解释研究发现，讨论学术与实践含义，指出局限与未来方向。</w:t>
      </w:r>
    </w:p>
    <w:p w14:paraId="48EC6B07">
      <w:pPr>
        <w:spacing w:line="240" w:lineRule="auto"/>
        <w:jc w:val="left"/>
        <w:rPr>
          <w:color w:val="auto"/>
        </w:rPr>
      </w:pPr>
      <w:r>
        <w:rPr>
          <w:rStyle w:val="8"/>
          <w:rFonts w:hint="eastAsia" w:ascii="宋体" w:hAnsi="宋体" w:eastAsia="宋体" w:cs="宋体"/>
          <w:b/>
          <w:bCs/>
          <w:i w:val="0"/>
          <w:iCs w:val="0"/>
          <w:caps w:val="0"/>
          <w:color w:val="auto"/>
          <w:spacing w:val="0"/>
          <w:sz w:val="28"/>
          <w:szCs w:val="28"/>
          <w:shd w:val="clear" w:fill="FFFFFF"/>
          <w:lang w:val="en-US" w:eastAsia="zh-CN"/>
        </w:rPr>
        <w:t>七</w:t>
      </w:r>
      <w:r>
        <w:rPr>
          <w:rStyle w:val="8"/>
          <w:rFonts w:hint="eastAsia" w:ascii="宋体" w:hAnsi="宋体" w:eastAsia="宋体" w:cs="宋体"/>
          <w:b/>
          <w:bCs/>
          <w:i w:val="0"/>
          <w:iCs w:val="0"/>
          <w:caps w:val="0"/>
          <w:color w:val="auto"/>
          <w:spacing w:val="0"/>
          <w:sz w:val="28"/>
          <w:szCs w:val="28"/>
          <w:shd w:val="clear" w:fill="FFFFFF"/>
        </w:rPr>
        <w:t>、 预期的学术贡献与创新点</w:t>
      </w:r>
    </w:p>
    <w:p w14:paraId="4420728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本研究基于 2022-2024 年覆盖全球主要 LLM 发布主体的 5161 条全维度事件级数据，系统探究 LLM 发布事件对资本市场的影响机制，核心学术贡献与创新点如下：</w:t>
      </w:r>
    </w:p>
    <w:p w14:paraId="0F47B14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1.数据与视角创新：基于全维度事件级数据，深化技术事件的资产定价研究 现有关于 AI 技术事件的资本市场研究，大多存在样本量小、维度单一、聚焦头部事件的局限，本研究基于覆盖 5000 + 条 LLM 发布事件、106 个全维度字段的大规模事件集数据集，首次将模型技术特征、媒体情感全维度指标、产业链角色划分、多窗口期市场反应数据同时纳入统一分析框架，系统考察技术事件的 “内容特征” 与 “传播特征” 在资产定价中的协同作用，有效区分了 “技术本身的价值” 和 “媒体的信息传播” 对股价的差异化影响，深化了对技术事件市场反应微观机制的理解。</w:t>
      </w:r>
    </w:p>
    <w:p w14:paraId="453C3E21">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2.分析深度创新：打开技术冲击在产业链上的差异化传导黑箱 现有研究大多聚焦 LLM 发布方本身的市场反应，对技术冲击在 AI 产业链上的传导机制、差异化影响研究不足。本研究基于事件集数据集的产业链角色划分、行业板块分类，通过双向固定效应面板模型与交互项分析，首次系统检验了 LLM 技术特征、媒体情感对产业链不同环节（发布方、上游算力、下游应用、竞争对手）的差异化影响，明确了技术冲击在产业链上的传导方向、异质性特征与边界条件，打开了 AI 技术创新 “赢家通吃” 或 “水涨船高” 的竞争格局预测黑箱。</w:t>
      </w:r>
    </w:p>
    <w:p w14:paraId="45C40C0A">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3.机制研究创新：厘清技术特征→媒体情感→市场反应的完整传导路径 现有研究对 AI 技术事件市场反应的机制分析，大多停留在 “是否有影响” 的层面，对 “如何产生影响” 的微观传导机制拆解不足。本研究基于事件集数据集的媒体情感全维度指标，通过面板回归与异质性分析，首次完整拆解了 “LLM 技术特征→媒体情感基调与分歧度→累计异常收益率” 的微观传导路径，明确了信息传播过程中，媒体情感的信号传递作用与分歧放大作用，以及在不同产业链环节、不同类型事件中的异质性，深化了对技术创新事件资本市场反应的信息传导机制理解。</w:t>
      </w:r>
    </w:p>
    <w:p w14:paraId="58270A20">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4.方法与实践创新：优化了前沿技术事件的样本筛选与实证分析框架 本研究基于大规模事件集数据的构建经验，优化了适用于前沿技术事件筛选的 S.A.F.E. 准则，明确了可复制、可验证的样本筛选标准，弥补了该领域样本选择标准模糊、可复制性差的缺陷；同时，构建了 “事件研究 + 面板回归 + 异质性分析” 的完整实证分析框架，完全适配前沿技术事件的全维度数据特征，为后续相关领域的研究提供了可参考的方法框架与实践范式。</w:t>
      </w:r>
    </w:p>
    <w:p w14:paraId="62999F1B">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八</w:t>
      </w:r>
      <w:r>
        <w:rPr>
          <w:rStyle w:val="8"/>
          <w:rFonts w:hint="eastAsia" w:ascii="宋体" w:hAnsi="宋体" w:eastAsia="宋体" w:cs="宋体"/>
          <w:b/>
          <w:bCs/>
          <w:i w:val="0"/>
          <w:iCs w:val="0"/>
          <w:caps w:val="0"/>
          <w:color w:val="auto"/>
          <w:spacing w:val="0"/>
          <w:sz w:val="28"/>
          <w:szCs w:val="28"/>
          <w:shd w:val="clear" w:fill="FFFFFF"/>
        </w:rPr>
        <w:t>、 潜在挑战与应对</w:t>
      </w:r>
    </w:p>
    <w:p w14:paraId="7C957A60">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1.事件日确定：部分模型发布存在多日预热或模糊发布。应对：以首个引起广泛关注的权威媒体报道日为准，并进行敏感性分析。</w:t>
      </w:r>
    </w:p>
    <w:p w14:paraId="29573FA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2.情感分析准确性：虽然FinBERT针对金融领域优化，但对纯技术性描述的理解可能存在偏差。应对：考虑人工抽检小样本验证，并与传统方法（如VADER）的结果进行对比分析。</w:t>
      </w:r>
    </w:p>
    <w:p w14:paraId="69C9B139">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3.混淆因素：尽管有筛选，但无法完全排除所有混杂信息。应对：在稳健性检验中剔除高度疑似混杂的样本，并在讨论中承认此局限性。</w:t>
      </w:r>
    </w:p>
    <w:p w14:paraId="5E7463E1">
      <w:p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九、研究局限与未来展望</w:t>
      </w:r>
    </w:p>
    <w:p w14:paraId="6FBE0805">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（一）研究局限</w:t>
      </w:r>
    </w:p>
    <w:p w14:paraId="69886D31">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样本范围局限：本研究的样本仅覆盖美股上市公司发布的 LLM 事件，未纳入中国、欧洲等其他市场的 AI 企业，研究结论在新兴市场的适用性有待进一步检验；</w:t>
      </w:r>
    </w:p>
    <w:p w14:paraId="275901F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时间维度局限：本研究仅聚焦 LLM 发布事件的短期市场反应，未深入检验技术事件对企业长期经营绩效、基本面变化的影响，长期价值效应有待后续研究；</w:t>
      </w:r>
    </w:p>
    <w:p w14:paraId="1E5679B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机制检验的局限：本研究未深入拆解机构投资者与散户投资者的交易行为差异，对市场反应的微观主体行为机制挖掘有待深化。</w:t>
      </w:r>
    </w:p>
    <w:p w14:paraId="686FAFDF">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（二）未来研究方向</w:t>
      </w:r>
    </w:p>
    <w:p w14:paraId="63AC4691">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拓展样本范围，纳入全球主要市场的 LLM 发布事件，对比不同资本市场对 AI 技术冲击的反应差异；</w:t>
      </w:r>
    </w:p>
    <w:p w14:paraId="77C03153">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拓展研究时间维度，检验 LLM 发布事件对企业长期营收、研发投入、市场份额的影响，厘清技术创新的长期价值效应；</w:t>
      </w:r>
    </w:p>
    <w:p w14:paraId="7FEC20C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利用高频交易数据，拆解不同类型投资者在事件窗口期内的交易行为差异，进一步打开技术事件冲击下资本市场反应的微观黑箱。</w:t>
      </w:r>
    </w:p>
    <w:p w14:paraId="585F0AA9">
      <w:pPr>
        <w:numPr>
          <w:ilvl w:val="0"/>
          <w:numId w:val="0"/>
        </w:numPr>
        <w:spacing w:line="240" w:lineRule="auto"/>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6B58A4"/>
    <w:multiLevelType w:val="singleLevel"/>
    <w:tmpl w:val="B36B58A4"/>
    <w:lvl w:ilvl="0" w:tentative="0">
      <w:start w:val="1"/>
      <w:numFmt w:val="decimal"/>
      <w:suff w:val="nothing"/>
      <w:lvlText w:val="（%1）"/>
      <w:lvlJc w:val="left"/>
    </w:lvl>
  </w:abstractNum>
  <w:abstractNum w:abstractNumId="1">
    <w:nsid w:val="E74BBBF6"/>
    <w:multiLevelType w:val="singleLevel"/>
    <w:tmpl w:val="E74BBBF6"/>
    <w:lvl w:ilvl="0" w:tentative="0">
      <w:start w:val="5"/>
      <w:numFmt w:val="chineseCounting"/>
      <w:suff w:val="nothing"/>
      <w:lvlText w:val="%1、"/>
      <w:lvlJc w:val="left"/>
      <w:rPr>
        <w:rFonts w:hint="eastAsia"/>
      </w:rPr>
    </w:lvl>
  </w:abstractNum>
  <w:abstractNum w:abstractNumId="2">
    <w:nsid w:val="2B8F4074"/>
    <w:multiLevelType w:val="singleLevel"/>
    <w:tmpl w:val="2B8F4074"/>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72B04"/>
    <w:rsid w:val="0333594B"/>
    <w:rsid w:val="08500BB1"/>
    <w:rsid w:val="0873728E"/>
    <w:rsid w:val="0EA53794"/>
    <w:rsid w:val="1332191F"/>
    <w:rsid w:val="15FD7FC2"/>
    <w:rsid w:val="19162CDC"/>
    <w:rsid w:val="1B165C7C"/>
    <w:rsid w:val="1C434C70"/>
    <w:rsid w:val="20986689"/>
    <w:rsid w:val="274D1D87"/>
    <w:rsid w:val="2C703E76"/>
    <w:rsid w:val="2DC135B3"/>
    <w:rsid w:val="31E35415"/>
    <w:rsid w:val="33F702EF"/>
    <w:rsid w:val="3EE97785"/>
    <w:rsid w:val="44FF683E"/>
    <w:rsid w:val="45146D44"/>
    <w:rsid w:val="46ED3E6B"/>
    <w:rsid w:val="4CFA324A"/>
    <w:rsid w:val="5ADE0A23"/>
    <w:rsid w:val="5D531525"/>
    <w:rsid w:val="611A6C93"/>
    <w:rsid w:val="620E45EE"/>
    <w:rsid w:val="62485641"/>
    <w:rsid w:val="67236729"/>
    <w:rsid w:val="672901E4"/>
    <w:rsid w:val="67791B52"/>
    <w:rsid w:val="6B2A4589"/>
    <w:rsid w:val="6B586951"/>
    <w:rsid w:val="6E997680"/>
    <w:rsid w:val="71386CCF"/>
    <w:rsid w:val="73503FE2"/>
    <w:rsid w:val="74054864"/>
    <w:rsid w:val="76415493"/>
    <w:rsid w:val="792E29E4"/>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4938</Words>
  <Characters>5419</Characters>
  <Lines>0</Lines>
  <Paragraphs>0</Paragraphs>
  <TotalTime>10</TotalTime>
  <ScaleCrop>false</ScaleCrop>
  <LinksUpToDate>false</LinksUpToDate>
  <CharactersWithSpaces>5674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2026-01-20T07:11:00Z</dcterms:created>
  <dc:creator>86176</dc:creator>
  <cp:lastModifiedBy>鲁睿爽</cp:lastModifiedBy>
  <dcterms:modified xsi:type="dcterms:W3CDTF">2026-06-15T02:23:08Z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eyJoZGlkIjoiYmQ3NjQxYmZmN2ZkODIxYWNiNTEzMzQyMTZmNzQ1MmMiLCJ1c2VySWQiOiIxNzM5NzY2MDQ0In0=</vt:lpwstr>
  </property>
  <property fmtid="{D5CDD505-2E9C-101B-9397-08002B2CF9AE}" pid="4" name="ICV">
    <vt:lpwstr>FF0E126C4ABB43B5AC226AD97181A48C_13</vt:lpwstr>
  </property>
</Properties>
</file>